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verpass" w:eastAsiaTheme="minorHAnsi" w:hAnsi="Overpass" w:cstheme="minorBidi"/>
          <w:color w:val="auto"/>
          <w:sz w:val="22"/>
          <w:szCs w:val="22"/>
          <w:lang w:val="en-GB"/>
        </w:rPr>
        <w:id w:val="573474808"/>
        <w:docPartObj>
          <w:docPartGallery w:val="Table of Contents"/>
          <w:docPartUnique/>
        </w:docPartObj>
      </w:sdtPr>
      <w:sdtEndPr>
        <w:rPr>
          <w:b/>
          <w:bCs/>
          <w:noProof/>
        </w:rPr>
      </w:sdtEndPr>
      <w:sdtContent>
        <w:p w14:paraId="1622520D" w14:textId="42D56F2F" w:rsidR="002C5BCE" w:rsidRPr="001362BD" w:rsidRDefault="002C5BCE">
          <w:pPr>
            <w:pStyle w:val="TOCHeading"/>
            <w:rPr>
              <w:rFonts w:ascii="Overpass" w:hAnsi="Overpass"/>
              <w:b/>
              <w:bCs/>
              <w:color w:val="auto"/>
              <w:sz w:val="24"/>
              <w:szCs w:val="24"/>
            </w:rPr>
          </w:pPr>
          <w:r w:rsidRPr="001362BD">
            <w:rPr>
              <w:rFonts w:ascii="Overpass" w:hAnsi="Overpass"/>
              <w:b/>
              <w:bCs/>
              <w:color w:val="auto"/>
              <w:sz w:val="24"/>
              <w:szCs w:val="24"/>
            </w:rPr>
            <w:t>Contents</w:t>
          </w:r>
        </w:p>
        <w:p w14:paraId="6221839E" w14:textId="5CCB8EB4" w:rsidR="004E5D8B" w:rsidRDefault="002C5BCE">
          <w:pPr>
            <w:pStyle w:val="TOC1"/>
            <w:tabs>
              <w:tab w:val="right" w:leader="dot" w:pos="10456"/>
            </w:tabs>
            <w:rPr>
              <w:rFonts w:eastAsiaTheme="minorEastAsia"/>
              <w:noProof/>
              <w:sz w:val="24"/>
              <w:szCs w:val="24"/>
              <w:lang w:eastAsia="en-GB"/>
            </w:rPr>
          </w:pPr>
          <w:r w:rsidRPr="001362BD">
            <w:rPr>
              <w:rFonts w:ascii="Overpass" w:hAnsi="Overpass"/>
              <w:sz w:val="24"/>
              <w:szCs w:val="24"/>
            </w:rPr>
            <w:fldChar w:fldCharType="begin"/>
          </w:r>
          <w:r w:rsidRPr="001362BD">
            <w:rPr>
              <w:rFonts w:ascii="Overpass" w:hAnsi="Overpass"/>
              <w:sz w:val="24"/>
              <w:szCs w:val="24"/>
            </w:rPr>
            <w:instrText xml:space="preserve"> TOC \o "1-3" \h \z \u </w:instrText>
          </w:r>
          <w:r w:rsidRPr="001362BD">
            <w:rPr>
              <w:rFonts w:ascii="Overpass" w:hAnsi="Overpass"/>
              <w:sz w:val="24"/>
              <w:szCs w:val="24"/>
            </w:rPr>
            <w:fldChar w:fldCharType="separate"/>
          </w:r>
          <w:hyperlink w:anchor="_Toc134092949" w:history="1">
            <w:r w:rsidR="004E5D8B" w:rsidRPr="00DF6BD3">
              <w:rPr>
                <w:rStyle w:val="Hyperlink"/>
                <w:rFonts w:ascii="Overpass" w:hAnsi="Overpass"/>
                <w:b/>
                <w:bCs/>
                <w:noProof/>
              </w:rPr>
              <w:t>Degree Outcomes Statement 2023</w:t>
            </w:r>
            <w:r w:rsidR="004E5D8B">
              <w:rPr>
                <w:noProof/>
                <w:webHidden/>
              </w:rPr>
              <w:tab/>
            </w:r>
            <w:r w:rsidR="004E5D8B">
              <w:rPr>
                <w:noProof/>
                <w:webHidden/>
              </w:rPr>
              <w:fldChar w:fldCharType="begin"/>
            </w:r>
            <w:r w:rsidR="004E5D8B">
              <w:rPr>
                <w:noProof/>
                <w:webHidden/>
              </w:rPr>
              <w:instrText xml:space="preserve"> PAGEREF _Toc134092949 \h </w:instrText>
            </w:r>
            <w:r w:rsidR="004E5D8B">
              <w:rPr>
                <w:noProof/>
                <w:webHidden/>
              </w:rPr>
            </w:r>
            <w:r w:rsidR="004E5D8B">
              <w:rPr>
                <w:noProof/>
                <w:webHidden/>
              </w:rPr>
              <w:fldChar w:fldCharType="separate"/>
            </w:r>
            <w:r w:rsidR="004E5D8B">
              <w:rPr>
                <w:noProof/>
                <w:webHidden/>
              </w:rPr>
              <w:t>2</w:t>
            </w:r>
            <w:r w:rsidR="004E5D8B">
              <w:rPr>
                <w:noProof/>
                <w:webHidden/>
              </w:rPr>
              <w:fldChar w:fldCharType="end"/>
            </w:r>
          </w:hyperlink>
        </w:p>
        <w:p w14:paraId="3AC320DC" w14:textId="2801D3A0" w:rsidR="004E5D8B" w:rsidRDefault="004E5D8B">
          <w:pPr>
            <w:pStyle w:val="TOC2"/>
            <w:tabs>
              <w:tab w:val="right" w:leader="dot" w:pos="10456"/>
            </w:tabs>
            <w:rPr>
              <w:rFonts w:eastAsiaTheme="minorEastAsia"/>
              <w:noProof/>
              <w:sz w:val="24"/>
              <w:szCs w:val="24"/>
              <w:lang w:eastAsia="en-GB"/>
            </w:rPr>
          </w:pPr>
          <w:hyperlink w:anchor="_Toc134092950" w:history="1">
            <w:r w:rsidRPr="00DF6BD3">
              <w:rPr>
                <w:rStyle w:val="Hyperlink"/>
                <w:rFonts w:ascii="Overpass" w:hAnsi="Overpass"/>
                <w:b/>
                <w:bCs/>
                <w:noProof/>
              </w:rPr>
              <w:t>Degree Classification Profile</w:t>
            </w:r>
            <w:r>
              <w:rPr>
                <w:noProof/>
                <w:webHidden/>
              </w:rPr>
              <w:tab/>
            </w:r>
            <w:r>
              <w:rPr>
                <w:noProof/>
                <w:webHidden/>
              </w:rPr>
              <w:fldChar w:fldCharType="begin"/>
            </w:r>
            <w:r>
              <w:rPr>
                <w:noProof/>
                <w:webHidden/>
              </w:rPr>
              <w:instrText xml:space="preserve"> PAGEREF _Toc134092950 \h </w:instrText>
            </w:r>
            <w:r>
              <w:rPr>
                <w:noProof/>
                <w:webHidden/>
              </w:rPr>
            </w:r>
            <w:r>
              <w:rPr>
                <w:noProof/>
                <w:webHidden/>
              </w:rPr>
              <w:fldChar w:fldCharType="separate"/>
            </w:r>
            <w:r>
              <w:rPr>
                <w:noProof/>
                <w:webHidden/>
              </w:rPr>
              <w:t>3</w:t>
            </w:r>
            <w:r>
              <w:rPr>
                <w:noProof/>
                <w:webHidden/>
              </w:rPr>
              <w:fldChar w:fldCharType="end"/>
            </w:r>
          </w:hyperlink>
        </w:p>
        <w:p w14:paraId="6AD0774E" w14:textId="731408DA" w:rsidR="004E5D8B" w:rsidRDefault="004E5D8B">
          <w:pPr>
            <w:pStyle w:val="TOC2"/>
            <w:tabs>
              <w:tab w:val="right" w:leader="dot" w:pos="10456"/>
            </w:tabs>
            <w:rPr>
              <w:rFonts w:eastAsiaTheme="minorEastAsia"/>
              <w:noProof/>
              <w:sz w:val="24"/>
              <w:szCs w:val="24"/>
              <w:lang w:eastAsia="en-GB"/>
            </w:rPr>
          </w:pPr>
          <w:hyperlink w:anchor="_Toc134092951" w:history="1">
            <w:r w:rsidRPr="00DF6BD3">
              <w:rPr>
                <w:rStyle w:val="Hyperlink"/>
                <w:rFonts w:ascii="Overpass" w:hAnsi="Overpass"/>
                <w:b/>
                <w:bCs/>
                <w:noProof/>
              </w:rPr>
              <w:t>Assessment and Marking Practices</w:t>
            </w:r>
            <w:r>
              <w:rPr>
                <w:noProof/>
                <w:webHidden/>
              </w:rPr>
              <w:tab/>
            </w:r>
            <w:r>
              <w:rPr>
                <w:noProof/>
                <w:webHidden/>
              </w:rPr>
              <w:fldChar w:fldCharType="begin"/>
            </w:r>
            <w:r>
              <w:rPr>
                <w:noProof/>
                <w:webHidden/>
              </w:rPr>
              <w:instrText xml:space="preserve"> PAGEREF _Toc134092951 \h </w:instrText>
            </w:r>
            <w:r>
              <w:rPr>
                <w:noProof/>
                <w:webHidden/>
              </w:rPr>
            </w:r>
            <w:r>
              <w:rPr>
                <w:noProof/>
                <w:webHidden/>
              </w:rPr>
              <w:fldChar w:fldCharType="separate"/>
            </w:r>
            <w:r>
              <w:rPr>
                <w:noProof/>
                <w:webHidden/>
              </w:rPr>
              <w:t>3</w:t>
            </w:r>
            <w:r>
              <w:rPr>
                <w:noProof/>
                <w:webHidden/>
              </w:rPr>
              <w:fldChar w:fldCharType="end"/>
            </w:r>
          </w:hyperlink>
        </w:p>
        <w:p w14:paraId="5A7DCDF1" w14:textId="51098238" w:rsidR="004E5D8B" w:rsidRDefault="004E5D8B">
          <w:pPr>
            <w:pStyle w:val="TOC2"/>
            <w:tabs>
              <w:tab w:val="right" w:leader="dot" w:pos="10456"/>
            </w:tabs>
            <w:rPr>
              <w:rFonts w:eastAsiaTheme="minorEastAsia"/>
              <w:noProof/>
              <w:sz w:val="24"/>
              <w:szCs w:val="24"/>
              <w:lang w:eastAsia="en-GB"/>
            </w:rPr>
          </w:pPr>
          <w:hyperlink w:anchor="_Toc134092952" w:history="1">
            <w:r w:rsidRPr="00DF6BD3">
              <w:rPr>
                <w:rStyle w:val="Hyperlink"/>
                <w:rFonts w:ascii="Overpass" w:hAnsi="Overpass"/>
                <w:b/>
                <w:bCs/>
                <w:noProof/>
              </w:rPr>
              <w:t>Method of Calculating Degree Classifications</w:t>
            </w:r>
            <w:r>
              <w:rPr>
                <w:noProof/>
                <w:webHidden/>
              </w:rPr>
              <w:tab/>
            </w:r>
            <w:r>
              <w:rPr>
                <w:noProof/>
                <w:webHidden/>
              </w:rPr>
              <w:fldChar w:fldCharType="begin"/>
            </w:r>
            <w:r>
              <w:rPr>
                <w:noProof/>
                <w:webHidden/>
              </w:rPr>
              <w:instrText xml:space="preserve"> PAGEREF _Toc134092952 \h </w:instrText>
            </w:r>
            <w:r>
              <w:rPr>
                <w:noProof/>
                <w:webHidden/>
              </w:rPr>
            </w:r>
            <w:r>
              <w:rPr>
                <w:noProof/>
                <w:webHidden/>
              </w:rPr>
              <w:fldChar w:fldCharType="separate"/>
            </w:r>
            <w:r>
              <w:rPr>
                <w:noProof/>
                <w:webHidden/>
              </w:rPr>
              <w:t>5</w:t>
            </w:r>
            <w:r>
              <w:rPr>
                <w:noProof/>
                <w:webHidden/>
              </w:rPr>
              <w:fldChar w:fldCharType="end"/>
            </w:r>
          </w:hyperlink>
        </w:p>
        <w:p w14:paraId="275271E4" w14:textId="6695AD0F" w:rsidR="004E5D8B" w:rsidRDefault="004E5D8B">
          <w:pPr>
            <w:pStyle w:val="TOC2"/>
            <w:tabs>
              <w:tab w:val="right" w:leader="dot" w:pos="10456"/>
            </w:tabs>
            <w:rPr>
              <w:rFonts w:eastAsiaTheme="minorEastAsia"/>
              <w:noProof/>
              <w:sz w:val="24"/>
              <w:szCs w:val="24"/>
              <w:lang w:eastAsia="en-GB"/>
            </w:rPr>
          </w:pPr>
          <w:hyperlink w:anchor="_Toc134092953" w:history="1">
            <w:r w:rsidRPr="00DF6BD3">
              <w:rPr>
                <w:rStyle w:val="Hyperlink"/>
                <w:rFonts w:ascii="Overpass" w:hAnsi="Overpass"/>
                <w:b/>
                <w:bCs/>
                <w:noProof/>
              </w:rPr>
              <w:t>Academic Governance</w:t>
            </w:r>
            <w:r>
              <w:rPr>
                <w:noProof/>
                <w:webHidden/>
              </w:rPr>
              <w:tab/>
            </w:r>
            <w:r>
              <w:rPr>
                <w:noProof/>
                <w:webHidden/>
              </w:rPr>
              <w:fldChar w:fldCharType="begin"/>
            </w:r>
            <w:r>
              <w:rPr>
                <w:noProof/>
                <w:webHidden/>
              </w:rPr>
              <w:instrText xml:space="preserve"> PAGEREF _Toc134092953 \h </w:instrText>
            </w:r>
            <w:r>
              <w:rPr>
                <w:noProof/>
                <w:webHidden/>
              </w:rPr>
            </w:r>
            <w:r>
              <w:rPr>
                <w:noProof/>
                <w:webHidden/>
              </w:rPr>
              <w:fldChar w:fldCharType="separate"/>
            </w:r>
            <w:r>
              <w:rPr>
                <w:noProof/>
                <w:webHidden/>
              </w:rPr>
              <w:t>5</w:t>
            </w:r>
            <w:r>
              <w:rPr>
                <w:noProof/>
                <w:webHidden/>
              </w:rPr>
              <w:fldChar w:fldCharType="end"/>
            </w:r>
          </w:hyperlink>
        </w:p>
        <w:p w14:paraId="20E7FB6A" w14:textId="07C59F57" w:rsidR="004E5D8B" w:rsidRDefault="004E5D8B">
          <w:pPr>
            <w:pStyle w:val="TOC2"/>
            <w:tabs>
              <w:tab w:val="right" w:leader="dot" w:pos="10456"/>
            </w:tabs>
            <w:rPr>
              <w:rFonts w:eastAsiaTheme="minorEastAsia"/>
              <w:noProof/>
              <w:sz w:val="24"/>
              <w:szCs w:val="24"/>
              <w:lang w:eastAsia="en-GB"/>
            </w:rPr>
          </w:pPr>
          <w:hyperlink w:anchor="_Toc134092954" w:history="1">
            <w:r w:rsidRPr="00DF6BD3">
              <w:rPr>
                <w:rStyle w:val="Hyperlink"/>
                <w:rFonts w:ascii="Overpass" w:hAnsi="Overpass"/>
                <w:b/>
                <w:bCs/>
                <w:noProof/>
              </w:rPr>
              <w:t>Learning and Teaching Practices</w:t>
            </w:r>
            <w:r>
              <w:rPr>
                <w:noProof/>
                <w:webHidden/>
              </w:rPr>
              <w:tab/>
            </w:r>
            <w:r>
              <w:rPr>
                <w:noProof/>
                <w:webHidden/>
              </w:rPr>
              <w:fldChar w:fldCharType="begin"/>
            </w:r>
            <w:r>
              <w:rPr>
                <w:noProof/>
                <w:webHidden/>
              </w:rPr>
              <w:instrText xml:space="preserve"> PAGEREF _Toc134092954 \h </w:instrText>
            </w:r>
            <w:r>
              <w:rPr>
                <w:noProof/>
                <w:webHidden/>
              </w:rPr>
            </w:r>
            <w:r>
              <w:rPr>
                <w:noProof/>
                <w:webHidden/>
              </w:rPr>
              <w:fldChar w:fldCharType="separate"/>
            </w:r>
            <w:r>
              <w:rPr>
                <w:noProof/>
                <w:webHidden/>
              </w:rPr>
              <w:t>6</w:t>
            </w:r>
            <w:r>
              <w:rPr>
                <w:noProof/>
                <w:webHidden/>
              </w:rPr>
              <w:fldChar w:fldCharType="end"/>
            </w:r>
          </w:hyperlink>
        </w:p>
        <w:p w14:paraId="7EA4E533" w14:textId="3B60871C" w:rsidR="004E5D8B" w:rsidRDefault="004E5D8B">
          <w:pPr>
            <w:pStyle w:val="TOC2"/>
            <w:tabs>
              <w:tab w:val="right" w:leader="dot" w:pos="10456"/>
            </w:tabs>
            <w:rPr>
              <w:rFonts w:eastAsiaTheme="minorEastAsia"/>
              <w:noProof/>
              <w:sz w:val="24"/>
              <w:szCs w:val="24"/>
              <w:lang w:eastAsia="en-GB"/>
            </w:rPr>
          </w:pPr>
          <w:hyperlink w:anchor="_Toc134092955" w:history="1">
            <w:r w:rsidRPr="00DF6BD3">
              <w:rPr>
                <w:rStyle w:val="Hyperlink"/>
                <w:rFonts w:ascii="Overpass" w:hAnsi="Overpass"/>
                <w:b/>
                <w:bCs/>
                <w:noProof/>
              </w:rPr>
              <w:t>Conclusions and Recommendations</w:t>
            </w:r>
            <w:r>
              <w:rPr>
                <w:noProof/>
                <w:webHidden/>
              </w:rPr>
              <w:tab/>
            </w:r>
            <w:r>
              <w:rPr>
                <w:noProof/>
                <w:webHidden/>
              </w:rPr>
              <w:fldChar w:fldCharType="begin"/>
            </w:r>
            <w:r>
              <w:rPr>
                <w:noProof/>
                <w:webHidden/>
              </w:rPr>
              <w:instrText xml:space="preserve"> PAGEREF _Toc134092955 \h </w:instrText>
            </w:r>
            <w:r>
              <w:rPr>
                <w:noProof/>
                <w:webHidden/>
              </w:rPr>
            </w:r>
            <w:r>
              <w:rPr>
                <w:noProof/>
                <w:webHidden/>
              </w:rPr>
              <w:fldChar w:fldCharType="separate"/>
            </w:r>
            <w:r>
              <w:rPr>
                <w:noProof/>
                <w:webHidden/>
              </w:rPr>
              <w:t>8</w:t>
            </w:r>
            <w:r>
              <w:rPr>
                <w:noProof/>
                <w:webHidden/>
              </w:rPr>
              <w:fldChar w:fldCharType="end"/>
            </w:r>
          </w:hyperlink>
        </w:p>
        <w:p w14:paraId="16F9D19D" w14:textId="02D90BF0" w:rsidR="004E5D8B" w:rsidRDefault="004E5D8B">
          <w:pPr>
            <w:pStyle w:val="TOC1"/>
            <w:tabs>
              <w:tab w:val="right" w:leader="dot" w:pos="10456"/>
            </w:tabs>
            <w:rPr>
              <w:rFonts w:eastAsiaTheme="minorEastAsia"/>
              <w:noProof/>
              <w:sz w:val="24"/>
              <w:szCs w:val="24"/>
              <w:lang w:eastAsia="en-GB"/>
            </w:rPr>
          </w:pPr>
          <w:hyperlink w:anchor="_Toc134092956" w:history="1">
            <w:r w:rsidRPr="00DF6BD3">
              <w:rPr>
                <w:rStyle w:val="Hyperlink"/>
                <w:rFonts w:ascii="Overpass" w:hAnsi="Overpass"/>
                <w:b/>
                <w:bCs/>
                <w:noProof/>
              </w:rPr>
              <w:t>Appendix A</w:t>
            </w:r>
            <w:r>
              <w:rPr>
                <w:noProof/>
                <w:webHidden/>
              </w:rPr>
              <w:tab/>
            </w:r>
            <w:r>
              <w:rPr>
                <w:noProof/>
                <w:webHidden/>
              </w:rPr>
              <w:fldChar w:fldCharType="begin"/>
            </w:r>
            <w:r>
              <w:rPr>
                <w:noProof/>
                <w:webHidden/>
              </w:rPr>
              <w:instrText xml:space="preserve"> PAGEREF _Toc134092956 \h </w:instrText>
            </w:r>
            <w:r>
              <w:rPr>
                <w:noProof/>
                <w:webHidden/>
              </w:rPr>
            </w:r>
            <w:r>
              <w:rPr>
                <w:noProof/>
                <w:webHidden/>
              </w:rPr>
              <w:fldChar w:fldCharType="separate"/>
            </w:r>
            <w:r>
              <w:rPr>
                <w:noProof/>
                <w:webHidden/>
              </w:rPr>
              <w:t>10</w:t>
            </w:r>
            <w:r>
              <w:rPr>
                <w:noProof/>
                <w:webHidden/>
              </w:rPr>
              <w:fldChar w:fldCharType="end"/>
            </w:r>
          </w:hyperlink>
        </w:p>
        <w:p w14:paraId="3DB28840" w14:textId="08EB1FB9" w:rsidR="002C5BCE" w:rsidRPr="002C5BCE" w:rsidRDefault="002C5BCE">
          <w:pPr>
            <w:rPr>
              <w:rFonts w:ascii="Overpass" w:hAnsi="Overpass"/>
            </w:rPr>
          </w:pPr>
          <w:r w:rsidRPr="001362BD">
            <w:rPr>
              <w:rFonts w:ascii="Overpass" w:hAnsi="Overpass"/>
              <w:noProof/>
              <w:sz w:val="24"/>
              <w:szCs w:val="24"/>
            </w:rPr>
            <w:fldChar w:fldCharType="end"/>
          </w:r>
        </w:p>
      </w:sdtContent>
    </w:sdt>
    <w:p w14:paraId="12DD06F7" w14:textId="77777777" w:rsidR="00514849" w:rsidRDefault="00514849">
      <w:pPr>
        <w:rPr>
          <w:rFonts w:ascii="Overpass" w:eastAsiaTheme="majorEastAsia" w:hAnsi="Overpass" w:cstheme="majorBidi"/>
          <w:b/>
          <w:bCs/>
          <w:sz w:val="24"/>
          <w:szCs w:val="24"/>
        </w:rPr>
      </w:pPr>
      <w:r>
        <w:rPr>
          <w:rFonts w:ascii="Overpass" w:hAnsi="Overpass"/>
          <w:b/>
          <w:bCs/>
          <w:sz w:val="24"/>
          <w:szCs w:val="24"/>
        </w:rPr>
        <w:br w:type="page"/>
      </w:r>
    </w:p>
    <w:p w14:paraId="4CBF8712" w14:textId="77777777" w:rsidR="002C5BCE" w:rsidRPr="002C5BCE" w:rsidRDefault="002C5BCE" w:rsidP="002C5BCE">
      <w:pPr>
        <w:pStyle w:val="Heading1"/>
        <w:rPr>
          <w:rFonts w:ascii="Overpass" w:hAnsi="Overpass"/>
          <w:b/>
          <w:bCs/>
          <w:color w:val="auto"/>
          <w:sz w:val="24"/>
          <w:szCs w:val="24"/>
        </w:rPr>
      </w:pPr>
    </w:p>
    <w:p w14:paraId="4E9E3E72" w14:textId="4DF5F08F" w:rsidR="00E60C81" w:rsidRPr="002C5BCE" w:rsidRDefault="009C79C9" w:rsidP="002C5BCE">
      <w:pPr>
        <w:pStyle w:val="Heading1"/>
        <w:rPr>
          <w:rFonts w:ascii="Overpass" w:hAnsi="Overpass"/>
          <w:b/>
          <w:bCs/>
          <w:sz w:val="24"/>
          <w:szCs w:val="24"/>
        </w:rPr>
      </w:pPr>
      <w:bookmarkStart w:id="0" w:name="_Toc134092949"/>
      <w:r w:rsidRPr="002C5BCE">
        <w:rPr>
          <w:rFonts w:ascii="Overpass" w:hAnsi="Overpass"/>
          <w:b/>
          <w:bCs/>
          <w:color w:val="auto"/>
          <w:sz w:val="24"/>
          <w:szCs w:val="24"/>
        </w:rPr>
        <w:t xml:space="preserve">Degree Outcomes Statement </w:t>
      </w:r>
      <w:r w:rsidR="002C4C98" w:rsidRPr="002C5BCE">
        <w:rPr>
          <w:rFonts w:ascii="Overpass" w:hAnsi="Overpass"/>
          <w:b/>
          <w:bCs/>
          <w:color w:val="auto"/>
          <w:sz w:val="24"/>
          <w:szCs w:val="24"/>
        </w:rPr>
        <w:t>202</w:t>
      </w:r>
      <w:r w:rsidR="00D5044D">
        <w:rPr>
          <w:rFonts w:ascii="Overpass" w:hAnsi="Overpass"/>
          <w:b/>
          <w:bCs/>
          <w:color w:val="auto"/>
          <w:sz w:val="24"/>
          <w:szCs w:val="24"/>
        </w:rPr>
        <w:t>3</w:t>
      </w:r>
      <w:bookmarkEnd w:id="0"/>
    </w:p>
    <w:p w14:paraId="3794F75C" w14:textId="144CA16E" w:rsidR="005C616D" w:rsidRPr="006D6AF0" w:rsidRDefault="009C79C9" w:rsidP="00EC32AF">
      <w:pPr>
        <w:rPr>
          <w:rFonts w:ascii="Overpass" w:hAnsi="Overpass" w:cs="Arial"/>
          <w:sz w:val="24"/>
          <w:szCs w:val="24"/>
        </w:rPr>
      </w:pPr>
      <w:r w:rsidRPr="006D6AF0">
        <w:rPr>
          <w:rFonts w:ascii="Overpass" w:hAnsi="Overpass" w:cs="Arial"/>
          <w:sz w:val="24"/>
          <w:szCs w:val="24"/>
        </w:rPr>
        <w:t>The University of Kent is committed to maintaining robust academic standards and ensuring that student attainment is assessed fairly and consistently in line with relevant sector external reference points, so that our awards hold their value at the point of qualification and over time.</w:t>
      </w:r>
      <w:r w:rsidR="00C32AAD" w:rsidRPr="006D6AF0">
        <w:rPr>
          <w:rFonts w:ascii="Overpass" w:hAnsi="Overpass" w:cs="Arial"/>
          <w:sz w:val="24"/>
          <w:szCs w:val="24"/>
        </w:rPr>
        <w:t xml:space="preserve"> </w:t>
      </w:r>
    </w:p>
    <w:p w14:paraId="610B52A5" w14:textId="62A1FAC1" w:rsidR="006370D5" w:rsidRPr="006D6AF0" w:rsidRDefault="006370D5" w:rsidP="00EC32AF">
      <w:pPr>
        <w:rPr>
          <w:rFonts w:ascii="Overpass" w:hAnsi="Overpass" w:cs="Arial"/>
          <w:sz w:val="24"/>
          <w:szCs w:val="24"/>
        </w:rPr>
      </w:pPr>
      <w:r w:rsidRPr="006D6AF0">
        <w:rPr>
          <w:rFonts w:ascii="Overpass" w:hAnsi="Overpass" w:cs="Arial"/>
          <w:sz w:val="24"/>
          <w:szCs w:val="24"/>
        </w:rPr>
        <w:t xml:space="preserve">The 2021/22 academic year was less affected by the Covid-19 pandemic and given the relaxation of public health restrictions prior to the commencement of the academic year, the University reverted to a more pre-pandemic ‘business as usual’ </w:t>
      </w:r>
      <w:r w:rsidR="00B52156" w:rsidRPr="006D6AF0">
        <w:rPr>
          <w:rFonts w:ascii="Overpass" w:hAnsi="Overpass" w:cs="Arial"/>
          <w:sz w:val="24"/>
          <w:szCs w:val="24"/>
        </w:rPr>
        <w:t xml:space="preserve">(BAU) </w:t>
      </w:r>
      <w:r w:rsidRPr="006D6AF0">
        <w:rPr>
          <w:rFonts w:ascii="Overpass" w:hAnsi="Overpass" w:cs="Arial"/>
          <w:sz w:val="24"/>
          <w:szCs w:val="24"/>
        </w:rPr>
        <w:t>approach to managing the student learning experience.</w:t>
      </w:r>
      <w:r w:rsidR="006568C4" w:rsidRPr="006D6AF0">
        <w:rPr>
          <w:rFonts w:ascii="Overpass" w:hAnsi="Overpass" w:cs="Arial"/>
          <w:sz w:val="24"/>
          <w:szCs w:val="24"/>
        </w:rPr>
        <w:t xml:space="preserve"> </w:t>
      </w:r>
    </w:p>
    <w:p w14:paraId="74B38A23" w14:textId="725B5431" w:rsidR="006568C4" w:rsidRPr="006D6AF0" w:rsidRDefault="006568C4" w:rsidP="00EC32AF">
      <w:pPr>
        <w:rPr>
          <w:rFonts w:ascii="Overpass" w:hAnsi="Overpass" w:cs="Arial"/>
          <w:bCs/>
          <w:sz w:val="24"/>
          <w:szCs w:val="24"/>
        </w:rPr>
      </w:pPr>
      <w:r w:rsidRPr="006D6AF0">
        <w:rPr>
          <w:rFonts w:ascii="Overpass" w:hAnsi="Overpass" w:cs="Arial"/>
          <w:sz w:val="24"/>
          <w:szCs w:val="24"/>
        </w:rPr>
        <w:t xml:space="preserve">Kent’s ‘No-detriment’ policy was no longer applied in the academic year 2021/22 (unless it was applicable to </w:t>
      </w:r>
      <w:r w:rsidR="00C05E0A">
        <w:rPr>
          <w:rFonts w:ascii="Overpass" w:hAnsi="Overpass" w:cs="Arial"/>
          <w:sz w:val="24"/>
          <w:szCs w:val="24"/>
        </w:rPr>
        <w:t xml:space="preserve">a subset of </w:t>
      </w:r>
      <w:r w:rsidRPr="006D6AF0">
        <w:rPr>
          <w:rFonts w:ascii="Overpass" w:hAnsi="Overpass" w:cs="Arial"/>
          <w:sz w:val="24"/>
          <w:szCs w:val="24"/>
        </w:rPr>
        <w:t>the finalists)</w:t>
      </w:r>
      <w:r w:rsidR="000A4B6D">
        <w:rPr>
          <w:rFonts w:ascii="Overpass" w:hAnsi="Overpass" w:cs="Arial"/>
          <w:sz w:val="24"/>
          <w:szCs w:val="24"/>
        </w:rPr>
        <w:t>. H</w:t>
      </w:r>
      <w:r w:rsidR="00A13691" w:rsidRPr="006D6AF0">
        <w:rPr>
          <w:rFonts w:ascii="Overpass" w:hAnsi="Overpass" w:cs="Arial"/>
          <w:sz w:val="24"/>
          <w:szCs w:val="24"/>
        </w:rPr>
        <w:t>owever</w:t>
      </w:r>
      <w:r w:rsidR="000A4B6D">
        <w:rPr>
          <w:rFonts w:ascii="Overpass" w:hAnsi="Overpass" w:cs="Arial"/>
          <w:sz w:val="24"/>
          <w:szCs w:val="24"/>
        </w:rPr>
        <w:t>,</w:t>
      </w:r>
      <w:r w:rsidR="00A13691" w:rsidRPr="006D6AF0">
        <w:rPr>
          <w:rFonts w:ascii="Overpass" w:hAnsi="Overpass" w:cs="Arial"/>
          <w:sz w:val="24"/>
          <w:szCs w:val="24"/>
        </w:rPr>
        <w:t xml:space="preserve"> Kent implement</w:t>
      </w:r>
      <w:r w:rsidR="00A0632B" w:rsidRPr="006D6AF0">
        <w:rPr>
          <w:rFonts w:ascii="Overpass" w:hAnsi="Overpass" w:cs="Arial"/>
          <w:sz w:val="24"/>
          <w:szCs w:val="24"/>
        </w:rPr>
        <w:t>ed</w:t>
      </w:r>
      <w:r w:rsidR="00A13691" w:rsidRPr="006D6AF0">
        <w:rPr>
          <w:rFonts w:ascii="Overpass" w:hAnsi="Overpass" w:cs="Arial"/>
          <w:sz w:val="24"/>
          <w:szCs w:val="24"/>
        </w:rPr>
        <w:t xml:space="preserve"> the following changes </w:t>
      </w:r>
      <w:r w:rsidR="00A0632B" w:rsidRPr="006D6AF0">
        <w:rPr>
          <w:rFonts w:ascii="Overpass" w:hAnsi="Overpass" w:cs="Arial"/>
          <w:bCs/>
          <w:sz w:val="24"/>
          <w:szCs w:val="24"/>
        </w:rPr>
        <w:t>i</w:t>
      </w:r>
      <w:r w:rsidR="00A13691" w:rsidRPr="006D6AF0">
        <w:rPr>
          <w:rFonts w:ascii="Overpass" w:hAnsi="Overpass" w:cs="Arial"/>
          <w:bCs/>
          <w:sz w:val="24"/>
          <w:szCs w:val="24"/>
        </w:rPr>
        <w:t>n response to the sudden and severe worsening of the pandemic in December 2021:</w:t>
      </w:r>
    </w:p>
    <w:p w14:paraId="207424DC" w14:textId="399D1177" w:rsidR="00A13691" w:rsidRPr="006D6AF0" w:rsidRDefault="00A13691" w:rsidP="00514849">
      <w:pPr>
        <w:pStyle w:val="ListParagraph"/>
        <w:numPr>
          <w:ilvl w:val="0"/>
          <w:numId w:val="5"/>
        </w:numPr>
        <w:rPr>
          <w:rFonts w:ascii="Overpass" w:hAnsi="Overpass" w:cs="Arial"/>
          <w:bCs/>
          <w:sz w:val="24"/>
          <w:szCs w:val="24"/>
        </w:rPr>
      </w:pPr>
      <w:r w:rsidRPr="006D6AF0">
        <w:rPr>
          <w:rFonts w:ascii="Overpass" w:hAnsi="Overpass" w:cs="Arial"/>
          <w:bCs/>
          <w:sz w:val="24"/>
          <w:szCs w:val="24"/>
        </w:rPr>
        <w:t xml:space="preserve">the period of self-certification for periods of illness was extended to twenty-eight days in line with the government’s </w:t>
      </w:r>
      <w:proofErr w:type="gramStart"/>
      <w:r w:rsidRPr="006D6AF0">
        <w:rPr>
          <w:rFonts w:ascii="Overpass" w:hAnsi="Overpass" w:cs="Arial"/>
          <w:bCs/>
          <w:sz w:val="24"/>
          <w:szCs w:val="24"/>
        </w:rPr>
        <w:t>guidance;</w:t>
      </w:r>
      <w:proofErr w:type="gramEnd"/>
    </w:p>
    <w:p w14:paraId="63C69371" w14:textId="003B7DCA" w:rsidR="00A13691" w:rsidRPr="006D6AF0" w:rsidRDefault="00514849" w:rsidP="00514849">
      <w:pPr>
        <w:pStyle w:val="ListParagraph"/>
        <w:numPr>
          <w:ilvl w:val="0"/>
          <w:numId w:val="5"/>
        </w:numPr>
        <w:rPr>
          <w:rFonts w:ascii="Overpass" w:hAnsi="Overpass" w:cs="Arial"/>
          <w:sz w:val="24"/>
          <w:szCs w:val="24"/>
        </w:rPr>
      </w:pPr>
      <w:r w:rsidRPr="006D6AF0">
        <w:rPr>
          <w:rFonts w:ascii="Overpass" w:hAnsi="Overpass" w:cs="Arial"/>
          <w:sz w:val="24"/>
          <w:szCs w:val="24"/>
        </w:rPr>
        <w:t>a flexible submission period equating to a week’s extension for coursework throughout the Spring Term to offset the continued Tier 4 level lockdown in Kent from November 2021 – April 2022.</w:t>
      </w:r>
    </w:p>
    <w:p w14:paraId="71710737" w14:textId="21A6EAC7" w:rsidR="006370D5" w:rsidRPr="006D6AF0" w:rsidRDefault="00742161" w:rsidP="006370D5">
      <w:pPr>
        <w:rPr>
          <w:rFonts w:ascii="Overpass" w:hAnsi="Overpass" w:cs="Arial"/>
          <w:sz w:val="24"/>
          <w:szCs w:val="24"/>
        </w:rPr>
      </w:pPr>
      <w:r w:rsidRPr="006D6AF0">
        <w:rPr>
          <w:rFonts w:ascii="Overpass" w:hAnsi="Overpass" w:cs="Arial"/>
          <w:sz w:val="24"/>
          <w:szCs w:val="24"/>
        </w:rPr>
        <w:t>Kent has also</w:t>
      </w:r>
      <w:r w:rsidR="006370D5" w:rsidRPr="006D6AF0">
        <w:rPr>
          <w:rFonts w:ascii="Overpass" w:hAnsi="Overpass" w:cs="Arial"/>
          <w:sz w:val="24"/>
          <w:szCs w:val="24"/>
        </w:rPr>
        <w:t xml:space="preserve"> retained innovations in online delivery and assessment that have proven beneficial pedagogically during the previous two years. The recording of lectures for replay by students at a time of their convenience has become the norm and formal examinations (with one PSRB-driven subject area exception) were staged online.</w:t>
      </w:r>
    </w:p>
    <w:p w14:paraId="3887ECA2" w14:textId="4E13CE22" w:rsidR="00A95CE5" w:rsidRPr="006D6AF0" w:rsidRDefault="00A95CE5" w:rsidP="00A95CE5">
      <w:pPr>
        <w:rPr>
          <w:rFonts w:ascii="Overpass" w:hAnsi="Overpass" w:cs="Arial"/>
          <w:sz w:val="24"/>
          <w:szCs w:val="24"/>
        </w:rPr>
      </w:pPr>
      <w:r w:rsidRPr="006D6AF0">
        <w:rPr>
          <w:rFonts w:ascii="Overpass" w:hAnsi="Overpass" w:cs="Arial"/>
          <w:sz w:val="24"/>
          <w:szCs w:val="24"/>
        </w:rPr>
        <w:t>Kent has continued to adhere to the regulatory guidance (OfS, QAA, CMA and PSRB) to ensure that all its students receive an educational experience equivalent to that of the pre-Covid era in which the quality and academic standards of the provision are maintained.</w:t>
      </w:r>
    </w:p>
    <w:p w14:paraId="73B33353" w14:textId="3CC4FC3A" w:rsidR="00514849" w:rsidRDefault="00514849">
      <w:pPr>
        <w:rPr>
          <w:rFonts w:ascii="Overpass" w:hAnsi="Overpass" w:cs="Arial"/>
        </w:rPr>
      </w:pPr>
      <w:r>
        <w:rPr>
          <w:rFonts w:ascii="Overpass" w:hAnsi="Overpass" w:cs="Arial"/>
        </w:rPr>
        <w:br w:type="page"/>
      </w:r>
    </w:p>
    <w:p w14:paraId="27CE78DA" w14:textId="070F02A8" w:rsidR="00F46B6F" w:rsidRDefault="00EC32AF" w:rsidP="002C5BCE">
      <w:pPr>
        <w:pStyle w:val="Heading2"/>
        <w:rPr>
          <w:rFonts w:ascii="Overpass" w:hAnsi="Overpass"/>
          <w:b/>
          <w:bCs/>
          <w:color w:val="auto"/>
          <w:sz w:val="24"/>
          <w:szCs w:val="24"/>
        </w:rPr>
      </w:pPr>
      <w:bookmarkStart w:id="1" w:name="_Toc134092950"/>
      <w:r w:rsidRPr="002C5BCE">
        <w:rPr>
          <w:rFonts w:ascii="Overpass" w:hAnsi="Overpass"/>
          <w:b/>
          <w:bCs/>
          <w:color w:val="auto"/>
          <w:sz w:val="24"/>
          <w:szCs w:val="24"/>
        </w:rPr>
        <w:lastRenderedPageBreak/>
        <w:t>Degree Classification Profile</w:t>
      </w:r>
      <w:bookmarkEnd w:id="1"/>
      <w:r w:rsidR="009C79C9" w:rsidRPr="002C5BCE">
        <w:rPr>
          <w:rFonts w:ascii="Overpass" w:hAnsi="Overpass"/>
          <w:b/>
          <w:bCs/>
          <w:color w:val="auto"/>
          <w:sz w:val="24"/>
          <w:szCs w:val="24"/>
        </w:rPr>
        <w:t xml:space="preserve">  </w:t>
      </w:r>
    </w:p>
    <w:p w14:paraId="60D93CE2" w14:textId="3368AFCF" w:rsidR="00A95CE5" w:rsidRPr="00776F6B" w:rsidRDefault="00A95CE5" w:rsidP="00A95CE5">
      <w:pPr>
        <w:rPr>
          <w:rFonts w:ascii="Overpass" w:hAnsi="Overpass" w:cs="Arial"/>
          <w:bCs/>
          <w:sz w:val="24"/>
          <w:szCs w:val="24"/>
        </w:rPr>
      </w:pPr>
      <w:r w:rsidRPr="00776F6B">
        <w:rPr>
          <w:rFonts w:ascii="Overpass" w:hAnsi="Overpass" w:cs="Arial"/>
          <w:bCs/>
          <w:sz w:val="24"/>
          <w:szCs w:val="24"/>
        </w:rPr>
        <w:t xml:space="preserve">Kent had experienced a period of stability in awarding good degrees until 2019/20 - 80% in 2017/18 and 79% in 2018/19, although the rate of awarding 1st/2(I) degrees was slightly higher than the national sector average. </w:t>
      </w:r>
    </w:p>
    <w:p w14:paraId="18E06BA0" w14:textId="1346586F" w:rsidR="00A95CE5" w:rsidRPr="00776F6B" w:rsidRDefault="00A95CE5" w:rsidP="00A95CE5">
      <w:pPr>
        <w:rPr>
          <w:rFonts w:ascii="Overpass" w:hAnsi="Overpass" w:cs="Arial"/>
          <w:sz w:val="24"/>
          <w:szCs w:val="24"/>
        </w:rPr>
      </w:pPr>
      <w:r w:rsidRPr="00776F6B">
        <w:rPr>
          <w:rFonts w:ascii="Overpass" w:hAnsi="Overpass" w:cs="Arial"/>
          <w:bCs/>
          <w:sz w:val="24"/>
          <w:szCs w:val="24"/>
        </w:rPr>
        <w:t xml:space="preserve">Since 2019/20, Kent has seen an increase in the proportion of good degrees awarded, which has coincided with the pandemic. In 2019/20, Kent has awarded 85% of 1st/2(I) degrees and in 2020/21 awarded 87% of 1st/2(I) degrees. Although the </w:t>
      </w:r>
      <w:r w:rsidR="00B52156" w:rsidRPr="00776F6B">
        <w:rPr>
          <w:rFonts w:ascii="Overpass" w:hAnsi="Overpass" w:cs="Arial"/>
          <w:bCs/>
          <w:sz w:val="24"/>
          <w:szCs w:val="24"/>
        </w:rPr>
        <w:t>percentage</w:t>
      </w:r>
      <w:r w:rsidRPr="00776F6B">
        <w:rPr>
          <w:rFonts w:ascii="Overpass" w:hAnsi="Overpass" w:cs="Arial"/>
          <w:bCs/>
          <w:sz w:val="24"/>
          <w:szCs w:val="24"/>
        </w:rPr>
        <w:t xml:space="preserve"> of good degrees has reduced to 85% in 2021/22, it</w:t>
      </w:r>
      <w:r w:rsidR="00B52156" w:rsidRPr="00776F6B">
        <w:rPr>
          <w:rFonts w:ascii="Overpass" w:hAnsi="Overpass" w:cs="Arial"/>
          <w:bCs/>
          <w:sz w:val="24"/>
          <w:szCs w:val="24"/>
        </w:rPr>
        <w:t xml:space="preserve"> has not dropped to </w:t>
      </w:r>
      <w:r w:rsidR="004B39D4">
        <w:rPr>
          <w:rFonts w:ascii="Overpass" w:hAnsi="Overpass" w:cs="Arial"/>
          <w:bCs/>
          <w:sz w:val="24"/>
          <w:szCs w:val="24"/>
        </w:rPr>
        <w:t xml:space="preserve">the </w:t>
      </w:r>
      <w:r w:rsidR="00B52156" w:rsidRPr="00776F6B">
        <w:rPr>
          <w:rFonts w:ascii="Overpass" w:hAnsi="Overpass" w:cs="Arial"/>
          <w:bCs/>
          <w:sz w:val="24"/>
          <w:szCs w:val="24"/>
        </w:rPr>
        <w:t xml:space="preserve">pre-pandemic rates. In addition, Kent continues to have a higher rate of awarding 1st/2(I) degrees than </w:t>
      </w:r>
      <w:r w:rsidR="00B52156" w:rsidRPr="00776F6B">
        <w:rPr>
          <w:rFonts w:ascii="Overpass" w:hAnsi="Overpass" w:cs="Arial"/>
          <w:sz w:val="24"/>
          <w:szCs w:val="24"/>
        </w:rPr>
        <w:t>the national sector average (85% vs 79%).</w:t>
      </w:r>
    </w:p>
    <w:p w14:paraId="765290C3" w14:textId="1D023A1D" w:rsidR="00B52156" w:rsidRPr="00776F6B" w:rsidRDefault="00B52156" w:rsidP="00A95CE5">
      <w:pPr>
        <w:rPr>
          <w:rFonts w:ascii="Overpass" w:hAnsi="Overpass" w:cs="Arial"/>
          <w:sz w:val="24"/>
          <w:szCs w:val="24"/>
        </w:rPr>
      </w:pPr>
      <w:r w:rsidRPr="00776F6B">
        <w:rPr>
          <w:rFonts w:ascii="Overpass" w:hAnsi="Overpass" w:cs="Arial"/>
          <w:sz w:val="24"/>
          <w:szCs w:val="24"/>
        </w:rPr>
        <w:t xml:space="preserve">Table 1 presents the distribution of degree classifications across the five-year period, showing evidence of </w:t>
      </w:r>
      <w:r w:rsidR="0039743C">
        <w:rPr>
          <w:rFonts w:ascii="Overpass" w:hAnsi="Overpass" w:cs="Arial"/>
          <w:sz w:val="24"/>
          <w:szCs w:val="24"/>
        </w:rPr>
        <w:t>a sus</w:t>
      </w:r>
      <w:r w:rsidR="004F7FE1">
        <w:rPr>
          <w:rFonts w:ascii="Overpass" w:hAnsi="Overpass" w:cs="Arial"/>
          <w:sz w:val="24"/>
          <w:szCs w:val="24"/>
        </w:rPr>
        <w:t xml:space="preserve">tained increase in </w:t>
      </w:r>
      <w:r w:rsidRPr="00776F6B">
        <w:rPr>
          <w:rFonts w:ascii="Overpass" w:hAnsi="Overpass" w:cs="Arial"/>
          <w:sz w:val="24"/>
          <w:szCs w:val="24"/>
        </w:rPr>
        <w:t>the percentage of 1st / 2(1) award</w:t>
      </w:r>
      <w:r w:rsidR="004F7FE1">
        <w:rPr>
          <w:rFonts w:ascii="Overpass" w:hAnsi="Overpass" w:cs="Arial"/>
          <w:sz w:val="24"/>
          <w:szCs w:val="24"/>
        </w:rPr>
        <w:t>ed</w:t>
      </w:r>
      <w:r w:rsidR="00C93C9D">
        <w:rPr>
          <w:rFonts w:ascii="Overpass" w:hAnsi="Overpass" w:cs="Arial"/>
          <w:sz w:val="24"/>
          <w:szCs w:val="24"/>
        </w:rPr>
        <w:t xml:space="preserve"> from 2019/20. </w:t>
      </w:r>
      <w:r w:rsidRPr="00776F6B">
        <w:rPr>
          <w:rFonts w:ascii="Overpass" w:hAnsi="Overpass" w:cs="Arial"/>
          <w:sz w:val="24"/>
          <w:szCs w:val="24"/>
        </w:rPr>
        <w:t xml:space="preserve"> </w:t>
      </w:r>
      <w:r w:rsidR="00C93C9D">
        <w:rPr>
          <w:rFonts w:ascii="Overpass" w:hAnsi="Overpass" w:cs="Arial"/>
          <w:sz w:val="24"/>
          <w:szCs w:val="24"/>
        </w:rPr>
        <w:t>These rates of higher award exceed</w:t>
      </w:r>
      <w:r w:rsidRPr="00776F6B">
        <w:rPr>
          <w:rFonts w:ascii="Overpass" w:hAnsi="Overpass" w:cs="Arial"/>
          <w:sz w:val="24"/>
          <w:szCs w:val="24"/>
        </w:rPr>
        <w:t xml:space="preserve"> the national sector average throughout </w:t>
      </w:r>
      <w:r w:rsidR="00A02CEB">
        <w:rPr>
          <w:rFonts w:ascii="Overpass" w:hAnsi="Overpass" w:cs="Arial"/>
          <w:sz w:val="24"/>
          <w:szCs w:val="24"/>
        </w:rPr>
        <w:t>this period</w:t>
      </w:r>
      <w:r w:rsidR="00514849" w:rsidRPr="00776F6B">
        <w:rPr>
          <w:rFonts w:ascii="Overpass" w:hAnsi="Overpass" w:cs="Arial"/>
          <w:sz w:val="24"/>
          <w:szCs w:val="24"/>
        </w:rPr>
        <w:t>.</w:t>
      </w:r>
    </w:p>
    <w:p w14:paraId="1F4B2D60" w14:textId="4EEA92B6" w:rsidR="00B52156" w:rsidRPr="00776F6B" w:rsidRDefault="00B52156" w:rsidP="00A95CE5">
      <w:pPr>
        <w:rPr>
          <w:rFonts w:ascii="Overpass" w:hAnsi="Overpass" w:cs="Arial"/>
          <w:sz w:val="24"/>
          <w:szCs w:val="24"/>
        </w:rPr>
      </w:pPr>
      <w:r w:rsidRPr="00776F6B">
        <w:rPr>
          <w:rFonts w:ascii="Overpass" w:hAnsi="Overpass" w:cs="Arial"/>
          <w:sz w:val="24"/>
          <w:szCs w:val="24"/>
        </w:rPr>
        <w:t xml:space="preserve">We will re-assess the data in 2022/23 when we fully reverted to BAU to consider what measures might be necessary to address </w:t>
      </w:r>
      <w:r w:rsidR="006238A8">
        <w:rPr>
          <w:rFonts w:ascii="Overpass" w:hAnsi="Overpass" w:cs="Arial"/>
          <w:sz w:val="24"/>
          <w:szCs w:val="24"/>
        </w:rPr>
        <w:t>this increase</w:t>
      </w:r>
      <w:r w:rsidRPr="00776F6B">
        <w:rPr>
          <w:rFonts w:ascii="Overpass" w:hAnsi="Overpass" w:cs="Arial"/>
          <w:sz w:val="24"/>
          <w:szCs w:val="24"/>
        </w:rPr>
        <w:t>.</w:t>
      </w:r>
    </w:p>
    <w:p w14:paraId="791A2C2B" w14:textId="5649D6FB" w:rsidR="006568C4" w:rsidRPr="00776F6B" w:rsidRDefault="006568C4" w:rsidP="00A95CE5">
      <w:pPr>
        <w:rPr>
          <w:rFonts w:ascii="Overpass" w:hAnsi="Overpass" w:cs="Arial"/>
          <w:sz w:val="24"/>
          <w:szCs w:val="24"/>
        </w:rPr>
      </w:pPr>
      <w:r w:rsidRPr="00776F6B">
        <w:rPr>
          <w:rFonts w:ascii="Overpass" w:hAnsi="Overpass" w:cs="Arial"/>
          <w:sz w:val="24"/>
          <w:szCs w:val="24"/>
        </w:rPr>
        <w:t>Degree outcomes at the University of Kent and our partner institutions over the last five years are summarised in Appendix A.</w:t>
      </w:r>
    </w:p>
    <w:p w14:paraId="289FCB9C" w14:textId="5BED31CD" w:rsidR="006568C4" w:rsidRDefault="006568C4" w:rsidP="00020150">
      <w:pPr>
        <w:rPr>
          <w:rFonts w:ascii="Overpass" w:hAnsi="Overpass" w:cs="Arial"/>
        </w:rPr>
      </w:pPr>
      <w:r w:rsidRPr="006568C4">
        <w:rPr>
          <w:noProof/>
        </w:rPr>
        <w:drawing>
          <wp:inline distT="0" distB="0" distL="0" distR="0" wp14:anchorId="0B4A05A5" wp14:editId="6D232BB3">
            <wp:extent cx="6645910" cy="1264920"/>
            <wp:effectExtent l="0" t="0" r="2540" b="0"/>
            <wp:docPr id="636385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264920"/>
                    </a:xfrm>
                    <a:prstGeom prst="rect">
                      <a:avLst/>
                    </a:prstGeom>
                    <a:noFill/>
                    <a:ln>
                      <a:noFill/>
                    </a:ln>
                  </pic:spPr>
                </pic:pic>
              </a:graphicData>
            </a:graphic>
          </wp:inline>
        </w:drawing>
      </w:r>
    </w:p>
    <w:p w14:paraId="26E27A50" w14:textId="77777777" w:rsidR="006568C4" w:rsidRDefault="006568C4" w:rsidP="00020150">
      <w:pPr>
        <w:rPr>
          <w:rFonts w:ascii="Overpass" w:hAnsi="Overpass" w:cs="Arial"/>
        </w:rPr>
      </w:pPr>
    </w:p>
    <w:p w14:paraId="18EA5303" w14:textId="3DD0AA47" w:rsidR="00EC32AF" w:rsidRPr="002C5BCE" w:rsidRDefault="009F77B2" w:rsidP="002C5BCE">
      <w:pPr>
        <w:pStyle w:val="Heading2"/>
        <w:rPr>
          <w:rFonts w:ascii="Overpass" w:hAnsi="Overpass" w:cs="Arial"/>
          <w:b/>
        </w:rPr>
      </w:pPr>
      <w:bookmarkStart w:id="2" w:name="_Toc134092951"/>
      <w:r w:rsidRPr="002C5BCE">
        <w:rPr>
          <w:rFonts w:ascii="Overpass" w:hAnsi="Overpass"/>
          <w:b/>
          <w:bCs/>
          <w:color w:val="auto"/>
          <w:sz w:val="24"/>
          <w:szCs w:val="24"/>
        </w:rPr>
        <w:t>Assessment and Marking Practices</w:t>
      </w:r>
      <w:bookmarkEnd w:id="2"/>
    </w:p>
    <w:p w14:paraId="707F470B" w14:textId="47371A38" w:rsidR="009F77B2" w:rsidRPr="00382E2D" w:rsidRDefault="009F77B2" w:rsidP="009F77B2">
      <w:pPr>
        <w:rPr>
          <w:rFonts w:ascii="Overpass" w:hAnsi="Overpass" w:cs="Arial"/>
          <w:sz w:val="24"/>
          <w:szCs w:val="24"/>
        </w:rPr>
      </w:pPr>
      <w:r w:rsidRPr="00382E2D">
        <w:rPr>
          <w:rFonts w:ascii="Overpass" w:hAnsi="Overpass" w:cs="Arial"/>
          <w:sz w:val="24"/>
          <w:szCs w:val="24"/>
        </w:rPr>
        <w:t xml:space="preserve">The University’s academic provision aligns with the </w:t>
      </w:r>
      <w:hyperlink r:id="rId9" w:history="1">
        <w:r w:rsidRPr="00382E2D">
          <w:rPr>
            <w:rStyle w:val="Hyperlink"/>
            <w:rFonts w:ascii="Overpass" w:hAnsi="Overpass" w:cs="Arial"/>
            <w:sz w:val="24"/>
            <w:szCs w:val="24"/>
          </w:rPr>
          <w:t>UK Quality Code for Higher Education</w:t>
        </w:r>
      </w:hyperlink>
      <w:r w:rsidRPr="00382E2D">
        <w:rPr>
          <w:rFonts w:ascii="Overpass" w:hAnsi="Overpass" w:cs="Arial"/>
          <w:sz w:val="24"/>
          <w:szCs w:val="24"/>
        </w:rPr>
        <w:t>, with  processes in place to ensure that assessment and marking practices operate in accordance with the expectations</w:t>
      </w:r>
      <w:r w:rsidR="00713392" w:rsidRPr="00382E2D">
        <w:rPr>
          <w:rFonts w:ascii="Overpass" w:hAnsi="Overpass" w:cs="Arial"/>
          <w:sz w:val="24"/>
          <w:szCs w:val="24"/>
        </w:rPr>
        <w:t>,</w:t>
      </w:r>
      <w:r w:rsidRPr="00382E2D">
        <w:rPr>
          <w:rFonts w:ascii="Overpass" w:hAnsi="Overpass" w:cs="Arial"/>
          <w:sz w:val="24"/>
          <w:szCs w:val="24"/>
        </w:rPr>
        <w:t xml:space="preserve"> core practices and other reference points (e.g. </w:t>
      </w:r>
      <w:hyperlink r:id="rId10" w:history="1">
        <w:r w:rsidRPr="00382E2D">
          <w:rPr>
            <w:rStyle w:val="Hyperlink"/>
            <w:rFonts w:ascii="Overpass" w:hAnsi="Overpass" w:cs="Arial"/>
            <w:sz w:val="24"/>
            <w:szCs w:val="24"/>
          </w:rPr>
          <w:t>Subject Benchmark Statements</w:t>
        </w:r>
      </w:hyperlink>
      <w:r w:rsidR="00536544" w:rsidRPr="00382E2D">
        <w:rPr>
          <w:rFonts w:ascii="Overpass" w:hAnsi="Overpass" w:cs="Arial"/>
          <w:sz w:val="24"/>
          <w:szCs w:val="24"/>
        </w:rPr>
        <w:t xml:space="preserve"> and </w:t>
      </w:r>
      <w:hyperlink r:id="rId11" w:history="1">
        <w:r w:rsidR="00536544" w:rsidRPr="00382E2D">
          <w:rPr>
            <w:rStyle w:val="Hyperlink"/>
            <w:rFonts w:ascii="Overpass" w:hAnsi="Overpass" w:cs="Arial"/>
            <w:sz w:val="24"/>
            <w:szCs w:val="24"/>
          </w:rPr>
          <w:t>Degree Classification Descriptors</w:t>
        </w:r>
      </w:hyperlink>
      <w:r w:rsidRPr="00382E2D">
        <w:rPr>
          <w:rFonts w:ascii="Overpass" w:hAnsi="Overpass" w:cs="Arial"/>
          <w:sz w:val="24"/>
          <w:szCs w:val="24"/>
        </w:rPr>
        <w:t xml:space="preserve">) set out in the Code (See: Credit Framework </w:t>
      </w:r>
      <w:hyperlink r:id="rId12" w:history="1">
        <w:r w:rsidRPr="00382E2D">
          <w:rPr>
            <w:rStyle w:val="Hyperlink"/>
            <w:rFonts w:ascii="Overpass" w:hAnsi="Overpass" w:cs="Arial"/>
            <w:sz w:val="24"/>
            <w:szCs w:val="24"/>
          </w:rPr>
          <w:t>Annex 6: Marking</w:t>
        </w:r>
      </w:hyperlink>
      <w:r w:rsidRPr="00382E2D">
        <w:rPr>
          <w:rFonts w:ascii="Overpass" w:hAnsi="Overpass" w:cs="Arial"/>
          <w:sz w:val="24"/>
          <w:szCs w:val="24"/>
        </w:rPr>
        <w:t xml:space="preserve">).  In addition, where relevant to the provision we </w:t>
      </w:r>
      <w:proofErr w:type="gramStart"/>
      <w:r w:rsidRPr="00382E2D">
        <w:rPr>
          <w:rFonts w:ascii="Overpass" w:hAnsi="Overpass" w:cs="Arial"/>
          <w:sz w:val="24"/>
          <w:szCs w:val="24"/>
        </w:rPr>
        <w:t>take into account</w:t>
      </w:r>
      <w:proofErr w:type="gramEnd"/>
      <w:r w:rsidRPr="00382E2D">
        <w:rPr>
          <w:rFonts w:ascii="Overpass" w:hAnsi="Overpass" w:cs="Arial"/>
          <w:sz w:val="24"/>
          <w:szCs w:val="24"/>
        </w:rPr>
        <w:t xml:space="preserve"> the requirements of Professional, Statutory and Regulatory Bodies (PSRBs) and Apprenticeship Standards. </w:t>
      </w:r>
    </w:p>
    <w:p w14:paraId="5DD57099" w14:textId="5759AD8A" w:rsidR="009F77B2" w:rsidRPr="00382E2D" w:rsidRDefault="009F77B2" w:rsidP="009F77B2">
      <w:pPr>
        <w:rPr>
          <w:rFonts w:ascii="Overpass" w:hAnsi="Overpass" w:cs="Arial"/>
          <w:sz w:val="24"/>
          <w:szCs w:val="24"/>
        </w:rPr>
      </w:pPr>
      <w:r w:rsidRPr="00382E2D">
        <w:rPr>
          <w:rFonts w:ascii="Overpass" w:hAnsi="Overpass" w:cs="Arial"/>
          <w:sz w:val="24"/>
          <w:szCs w:val="24"/>
        </w:rPr>
        <w:t xml:space="preserve">In 2012/13 Kent adopted a University-wide </w:t>
      </w:r>
      <w:hyperlink r:id="rId13" w:history="1">
        <w:r w:rsidRPr="00382E2D">
          <w:rPr>
            <w:rStyle w:val="Hyperlink"/>
            <w:rFonts w:ascii="Overpass" w:hAnsi="Overpass" w:cs="Arial"/>
            <w:sz w:val="24"/>
            <w:szCs w:val="24"/>
          </w:rPr>
          <w:t>categorical marking scale</w:t>
        </w:r>
      </w:hyperlink>
      <w:r w:rsidRPr="00382E2D">
        <w:rPr>
          <w:rFonts w:ascii="Overpass" w:hAnsi="Overpass" w:cs="Arial"/>
          <w:sz w:val="24"/>
          <w:szCs w:val="24"/>
        </w:rPr>
        <w:t xml:space="preserve"> for use with respect to single pieces of work that require a qualitative judgement to be made, such as essays, </w:t>
      </w:r>
      <w:r w:rsidRPr="00382E2D">
        <w:rPr>
          <w:rFonts w:ascii="Overpass" w:hAnsi="Overpass" w:cs="Arial"/>
          <w:sz w:val="24"/>
          <w:szCs w:val="24"/>
        </w:rPr>
        <w:lastRenderedPageBreak/>
        <w:t xml:space="preserve">dissertations, reports, individual examination questions, with a view to providing benchmarked </w:t>
      </w:r>
      <w:r w:rsidR="00713392" w:rsidRPr="00382E2D">
        <w:rPr>
          <w:rFonts w:ascii="Overpass" w:hAnsi="Overpass" w:cs="Arial"/>
          <w:sz w:val="24"/>
          <w:szCs w:val="24"/>
        </w:rPr>
        <w:t>grad</w:t>
      </w:r>
      <w:r w:rsidRPr="00382E2D">
        <w:rPr>
          <w:rFonts w:ascii="Overpass" w:hAnsi="Overpass" w:cs="Arial"/>
          <w:sz w:val="24"/>
          <w:szCs w:val="24"/>
        </w:rPr>
        <w:t xml:space="preserve">ing points within each class band and thereby encouraging markers to make definitive judgements on the standards achieved.  Marking consistency is ensured through standardised moderation or double marking processes, which are managed by the </w:t>
      </w:r>
      <w:hyperlink r:id="rId14" w:history="1">
        <w:r w:rsidRPr="00382E2D">
          <w:rPr>
            <w:rStyle w:val="Hyperlink"/>
            <w:rFonts w:ascii="Overpass" w:hAnsi="Overpass" w:cs="Arial"/>
            <w:sz w:val="24"/>
            <w:szCs w:val="24"/>
          </w:rPr>
          <w:t>Chief Examiner</w:t>
        </w:r>
      </w:hyperlink>
      <w:r w:rsidRPr="00382E2D">
        <w:rPr>
          <w:rFonts w:ascii="Overpass" w:hAnsi="Overpass" w:cs="Arial"/>
          <w:sz w:val="24"/>
          <w:szCs w:val="24"/>
        </w:rPr>
        <w:t xml:space="preserve"> in each </w:t>
      </w:r>
      <w:r w:rsidR="00F62690" w:rsidRPr="00382E2D">
        <w:rPr>
          <w:rFonts w:ascii="Overpass" w:hAnsi="Overpass" w:cs="Arial"/>
          <w:sz w:val="24"/>
          <w:szCs w:val="24"/>
        </w:rPr>
        <w:t>Division</w:t>
      </w:r>
      <w:r w:rsidRPr="00382E2D">
        <w:rPr>
          <w:rFonts w:ascii="Overpass" w:hAnsi="Overpass" w:cs="Arial"/>
          <w:sz w:val="24"/>
          <w:szCs w:val="24"/>
        </w:rPr>
        <w:t xml:space="preserve">. Assessments are designed to demonstrate that the intended learning outcomes are attained at the appropriate level for the module. Methods of assessment are published in a module specification and held on </w:t>
      </w:r>
      <w:r w:rsidR="00BC246C" w:rsidRPr="00382E2D">
        <w:rPr>
          <w:rFonts w:ascii="Overpass" w:hAnsi="Overpass" w:cs="Arial"/>
          <w:sz w:val="24"/>
          <w:szCs w:val="24"/>
        </w:rPr>
        <w:t>central university</w:t>
      </w:r>
      <w:r w:rsidRPr="00382E2D">
        <w:rPr>
          <w:rFonts w:ascii="Overpass" w:hAnsi="Overpass" w:cs="Arial"/>
          <w:sz w:val="24"/>
          <w:szCs w:val="24"/>
        </w:rPr>
        <w:t xml:space="preserve"> websites. Overall assessment strategies for </w:t>
      </w:r>
      <w:r w:rsidR="00596349" w:rsidRPr="00382E2D">
        <w:rPr>
          <w:rFonts w:ascii="Overpass" w:hAnsi="Overpass" w:cs="Arial"/>
          <w:sz w:val="24"/>
          <w:szCs w:val="24"/>
        </w:rPr>
        <w:t>course</w:t>
      </w:r>
      <w:r w:rsidRPr="00382E2D">
        <w:rPr>
          <w:rFonts w:ascii="Overpass" w:hAnsi="Overpass" w:cs="Arial"/>
          <w:sz w:val="24"/>
          <w:szCs w:val="24"/>
        </w:rPr>
        <w:t xml:space="preserve">s are set out in the approved </w:t>
      </w:r>
      <w:r w:rsidR="00596349" w:rsidRPr="00382E2D">
        <w:rPr>
          <w:rFonts w:ascii="Overpass" w:hAnsi="Overpass" w:cs="Arial"/>
          <w:sz w:val="24"/>
          <w:szCs w:val="24"/>
        </w:rPr>
        <w:t>course</w:t>
      </w:r>
      <w:r w:rsidRPr="00382E2D">
        <w:rPr>
          <w:rFonts w:ascii="Overpass" w:hAnsi="Overpass" w:cs="Arial"/>
          <w:sz w:val="24"/>
          <w:szCs w:val="24"/>
        </w:rPr>
        <w:t xml:space="preserve"> specifications.  </w:t>
      </w:r>
    </w:p>
    <w:p w14:paraId="604D844F" w14:textId="3348D87D" w:rsidR="009F77B2" w:rsidRPr="00382E2D" w:rsidRDefault="009F77B2" w:rsidP="009F77B2">
      <w:pPr>
        <w:rPr>
          <w:rFonts w:ascii="Overpass" w:hAnsi="Overpass" w:cs="Arial"/>
          <w:sz w:val="24"/>
          <w:szCs w:val="24"/>
        </w:rPr>
      </w:pPr>
      <w:r w:rsidRPr="00382E2D">
        <w:rPr>
          <w:rFonts w:ascii="Overpass" w:hAnsi="Overpass" w:cs="Arial"/>
          <w:sz w:val="24"/>
          <w:szCs w:val="24"/>
        </w:rPr>
        <w:t xml:space="preserve">Assessment and marking practices are reviewed by the </w:t>
      </w:r>
      <w:hyperlink r:id="rId15" w:history="1">
        <w:r w:rsidRPr="00382E2D">
          <w:rPr>
            <w:rStyle w:val="Hyperlink"/>
            <w:rFonts w:ascii="Overpass" w:hAnsi="Overpass" w:cs="Arial"/>
            <w:sz w:val="24"/>
            <w:szCs w:val="24"/>
          </w:rPr>
          <w:t>Board of Examiners</w:t>
        </w:r>
      </w:hyperlink>
      <w:r w:rsidRPr="00382E2D">
        <w:rPr>
          <w:rFonts w:ascii="Overpass" w:hAnsi="Overpass" w:cs="Arial"/>
          <w:sz w:val="24"/>
          <w:szCs w:val="24"/>
        </w:rPr>
        <w:t xml:space="preserve"> for each </w:t>
      </w:r>
      <w:r w:rsidR="00596349" w:rsidRPr="00382E2D">
        <w:rPr>
          <w:rFonts w:ascii="Overpass" w:hAnsi="Overpass" w:cs="Arial"/>
          <w:sz w:val="24"/>
          <w:szCs w:val="24"/>
        </w:rPr>
        <w:t>cours</w:t>
      </w:r>
      <w:r w:rsidRPr="00382E2D">
        <w:rPr>
          <w:rFonts w:ascii="Overpass" w:hAnsi="Overpass" w:cs="Arial"/>
          <w:sz w:val="24"/>
          <w:szCs w:val="24"/>
        </w:rPr>
        <w:t>e in consultation with one or more external examiners, who provide informed and impartial assurance of the academic standards achieved</w:t>
      </w:r>
      <w:r w:rsidR="00596349" w:rsidRPr="00382E2D">
        <w:rPr>
          <w:rFonts w:ascii="Overpass" w:hAnsi="Overpass" w:cs="Arial"/>
          <w:sz w:val="24"/>
          <w:szCs w:val="24"/>
        </w:rPr>
        <w:t>,</w:t>
      </w:r>
      <w:r w:rsidRPr="00382E2D">
        <w:rPr>
          <w:rFonts w:ascii="Overpass" w:hAnsi="Overpass" w:cs="Arial"/>
          <w:sz w:val="24"/>
          <w:szCs w:val="24"/>
        </w:rPr>
        <w:t xml:space="preserve"> both in comparison to the </w:t>
      </w:r>
      <w:hyperlink r:id="rId16" w:history="1">
        <w:r w:rsidRPr="00382E2D">
          <w:rPr>
            <w:rStyle w:val="Hyperlink"/>
            <w:rFonts w:ascii="Overpass" w:hAnsi="Overpass" w:cs="Arial"/>
            <w:sz w:val="24"/>
            <w:szCs w:val="24"/>
          </w:rPr>
          <w:t>FHEQ</w:t>
        </w:r>
      </w:hyperlink>
      <w:r w:rsidRPr="00382E2D">
        <w:rPr>
          <w:rFonts w:ascii="Overpass" w:hAnsi="Overpass" w:cs="Arial"/>
          <w:sz w:val="24"/>
          <w:szCs w:val="24"/>
        </w:rPr>
        <w:t xml:space="preserve"> and those at other universities in the UK.  </w:t>
      </w:r>
      <w:hyperlink r:id="rId17" w:history="1">
        <w:r w:rsidRPr="00382E2D">
          <w:rPr>
            <w:rStyle w:val="Hyperlink"/>
            <w:rFonts w:ascii="Overpass" w:hAnsi="Overpass" w:cs="Arial"/>
            <w:sz w:val="24"/>
            <w:szCs w:val="24"/>
          </w:rPr>
          <w:t>External examiners</w:t>
        </w:r>
      </w:hyperlink>
      <w:r w:rsidRPr="00382E2D">
        <w:rPr>
          <w:rFonts w:ascii="Overpass" w:hAnsi="Overpass" w:cs="Arial"/>
          <w:sz w:val="24"/>
          <w:szCs w:val="24"/>
        </w:rPr>
        <w:t xml:space="preserve"> are required to comment explicitly on the soundness of assessment and marking practices and on the standards achieved by students in their annual reports.  These reports are reviewed by the relevant </w:t>
      </w:r>
      <w:r w:rsidR="00596349" w:rsidRPr="00382E2D">
        <w:rPr>
          <w:rFonts w:ascii="Overpass" w:hAnsi="Overpass" w:cs="Arial"/>
          <w:sz w:val="24"/>
          <w:szCs w:val="24"/>
        </w:rPr>
        <w:t>Divisional</w:t>
      </w:r>
      <w:r w:rsidRPr="00382E2D">
        <w:rPr>
          <w:rFonts w:ascii="Overpass" w:hAnsi="Overpass" w:cs="Arial"/>
          <w:sz w:val="24"/>
          <w:szCs w:val="24"/>
        </w:rPr>
        <w:t xml:space="preserve"> Committees, and by the University’s Education and Student Experience Board, which ensures that good practice is highlighted and any areas for improvement are addressed.  </w:t>
      </w:r>
    </w:p>
    <w:p w14:paraId="18D9A5AA" w14:textId="5067760A" w:rsidR="009F77B2" w:rsidRPr="00382E2D" w:rsidRDefault="009F77B2" w:rsidP="009F77B2">
      <w:pPr>
        <w:rPr>
          <w:rFonts w:ascii="Overpass" w:hAnsi="Overpass" w:cs="Arial"/>
          <w:sz w:val="24"/>
          <w:szCs w:val="24"/>
        </w:rPr>
      </w:pPr>
      <w:r w:rsidRPr="00382E2D">
        <w:rPr>
          <w:rFonts w:ascii="Overpass" w:hAnsi="Overpass" w:cs="Arial"/>
          <w:sz w:val="24"/>
          <w:szCs w:val="24"/>
        </w:rPr>
        <w:t xml:space="preserve">To ensure all students can demonstrate their true level of academic performance, Kent operates a policy to </w:t>
      </w:r>
      <w:hyperlink r:id="rId18" w:history="1">
        <w:r w:rsidRPr="00382E2D">
          <w:rPr>
            <w:rStyle w:val="Hyperlink"/>
            <w:rFonts w:ascii="Overpass" w:hAnsi="Overpass" w:cs="Arial"/>
            <w:sz w:val="24"/>
            <w:szCs w:val="24"/>
          </w:rPr>
          <w:t>mitigate extenuating circumstances</w:t>
        </w:r>
      </w:hyperlink>
      <w:r w:rsidRPr="00382E2D">
        <w:rPr>
          <w:rFonts w:ascii="Overpass" w:hAnsi="Overpass" w:cs="Arial"/>
          <w:sz w:val="24"/>
          <w:szCs w:val="24"/>
        </w:rPr>
        <w:t xml:space="preserve"> that may have negatively affected the student’s achievement on particular assessments. In addition, students may </w:t>
      </w:r>
      <w:hyperlink r:id="rId19" w:history="1">
        <w:r w:rsidRPr="00382E2D">
          <w:rPr>
            <w:rStyle w:val="Hyperlink"/>
            <w:rFonts w:ascii="Overpass" w:hAnsi="Overpass" w:cs="Arial"/>
            <w:sz w:val="24"/>
            <w:szCs w:val="24"/>
          </w:rPr>
          <w:t>appeal</w:t>
        </w:r>
      </w:hyperlink>
      <w:r w:rsidRPr="00382E2D">
        <w:rPr>
          <w:rFonts w:ascii="Overpass" w:hAnsi="Overpass" w:cs="Arial"/>
          <w:sz w:val="24"/>
          <w:szCs w:val="24"/>
        </w:rPr>
        <w:t xml:space="preserve"> against the recommendations of the Board of Examiners on the grounds of administrative, clerical or procedural error, or with regard to extenuating circumstances there were not made known previously or evidence of prejudice or bias. </w:t>
      </w:r>
    </w:p>
    <w:p w14:paraId="70B531DD" w14:textId="16B70CB2" w:rsidR="009F77B2" w:rsidRPr="00382E2D" w:rsidRDefault="009F77B2" w:rsidP="009F77B2">
      <w:pPr>
        <w:rPr>
          <w:rFonts w:ascii="Overpass" w:hAnsi="Overpass" w:cs="Arial"/>
          <w:sz w:val="24"/>
          <w:szCs w:val="24"/>
        </w:rPr>
      </w:pPr>
      <w:r w:rsidRPr="00382E2D">
        <w:rPr>
          <w:rFonts w:ascii="Overpass" w:hAnsi="Overpass" w:cs="Arial"/>
          <w:sz w:val="24"/>
          <w:szCs w:val="24"/>
        </w:rPr>
        <w:t xml:space="preserve">All collaborative courses leading to awards of the University are subject to the University’s standard </w:t>
      </w:r>
      <w:hyperlink r:id="rId20" w:history="1">
        <w:r w:rsidRPr="00382E2D">
          <w:rPr>
            <w:rStyle w:val="Hyperlink"/>
            <w:rFonts w:ascii="Overpass" w:hAnsi="Overpass" w:cs="Arial"/>
            <w:sz w:val="24"/>
            <w:szCs w:val="24"/>
          </w:rPr>
          <w:t>academic regulations</w:t>
        </w:r>
      </w:hyperlink>
      <w:r w:rsidRPr="00382E2D">
        <w:rPr>
          <w:rFonts w:ascii="Overpass" w:hAnsi="Overpass" w:cs="Arial"/>
          <w:sz w:val="24"/>
          <w:szCs w:val="24"/>
        </w:rPr>
        <w:t xml:space="preserve">, </w:t>
      </w:r>
      <w:hyperlink r:id="rId21" w:history="1">
        <w:r w:rsidRPr="00382E2D">
          <w:rPr>
            <w:rStyle w:val="Hyperlink"/>
            <w:rFonts w:ascii="Overpass" w:hAnsi="Overpass" w:cs="Arial"/>
            <w:sz w:val="24"/>
            <w:szCs w:val="24"/>
          </w:rPr>
          <w:t>Codes of Practice for Quality Assurance</w:t>
        </w:r>
      </w:hyperlink>
      <w:r w:rsidRPr="00382E2D">
        <w:rPr>
          <w:rFonts w:ascii="Overpass" w:hAnsi="Overpass" w:cs="Arial"/>
          <w:sz w:val="24"/>
          <w:szCs w:val="24"/>
        </w:rPr>
        <w:t xml:space="preserve"> and </w:t>
      </w:r>
      <w:hyperlink r:id="rId22" w:history="1">
        <w:r w:rsidRPr="00382E2D">
          <w:rPr>
            <w:rStyle w:val="Hyperlink"/>
            <w:rFonts w:ascii="Overpass" w:hAnsi="Overpass" w:cs="Arial"/>
            <w:sz w:val="24"/>
            <w:szCs w:val="24"/>
          </w:rPr>
          <w:t>Credit Framework</w:t>
        </w:r>
      </w:hyperlink>
      <w:r w:rsidRPr="00382E2D">
        <w:rPr>
          <w:rFonts w:ascii="Overpass" w:hAnsi="Overpass" w:cs="Arial"/>
          <w:sz w:val="24"/>
          <w:szCs w:val="24"/>
        </w:rPr>
        <w:t xml:space="preserve"> conventions, including those for marking and assessment. Boards of Examiners for </w:t>
      </w:r>
      <w:r w:rsidR="00596349" w:rsidRPr="00382E2D">
        <w:rPr>
          <w:rFonts w:ascii="Overpass" w:hAnsi="Overpass" w:cs="Arial"/>
          <w:sz w:val="24"/>
          <w:szCs w:val="24"/>
        </w:rPr>
        <w:t>course</w:t>
      </w:r>
      <w:r w:rsidRPr="00382E2D">
        <w:rPr>
          <w:rFonts w:ascii="Overpass" w:hAnsi="Overpass" w:cs="Arial"/>
          <w:sz w:val="24"/>
          <w:szCs w:val="24"/>
        </w:rPr>
        <w:t xml:space="preserve">s offered by partner providers operate with a Kent academic member of staff as Chair and with one or more University appointed external examiner as a member of the Board.  In the way, the University ensures comparability of standards for all </w:t>
      </w:r>
      <w:r w:rsidR="00BC246C" w:rsidRPr="00382E2D">
        <w:rPr>
          <w:rFonts w:ascii="Overpass" w:hAnsi="Overpass" w:cs="Arial"/>
          <w:sz w:val="24"/>
          <w:szCs w:val="24"/>
        </w:rPr>
        <w:t>course</w:t>
      </w:r>
      <w:r w:rsidRPr="00382E2D">
        <w:rPr>
          <w:rFonts w:ascii="Overpass" w:hAnsi="Overpass" w:cs="Arial"/>
          <w:sz w:val="24"/>
          <w:szCs w:val="24"/>
        </w:rPr>
        <w:t>s leading to its awards, regardless of the point of delivery.</w:t>
      </w:r>
    </w:p>
    <w:p w14:paraId="604208F7" w14:textId="77777777" w:rsidR="00382E2D" w:rsidRDefault="00382E2D" w:rsidP="002C5BCE">
      <w:pPr>
        <w:pStyle w:val="Heading2"/>
        <w:rPr>
          <w:rFonts w:ascii="Overpass" w:hAnsi="Overpass"/>
          <w:b/>
          <w:bCs/>
          <w:color w:val="auto"/>
          <w:sz w:val="24"/>
          <w:szCs w:val="24"/>
        </w:rPr>
      </w:pPr>
    </w:p>
    <w:p w14:paraId="7246D395" w14:textId="3C7499EE" w:rsidR="009F77B2" w:rsidRPr="002C5BCE" w:rsidRDefault="009F77B2" w:rsidP="002C5BCE">
      <w:pPr>
        <w:pStyle w:val="Heading2"/>
        <w:rPr>
          <w:rFonts w:ascii="Overpass" w:hAnsi="Overpass" w:cs="Arial"/>
          <w:b/>
        </w:rPr>
      </w:pPr>
      <w:bookmarkStart w:id="3" w:name="_Toc134092952"/>
      <w:r w:rsidRPr="002C5BCE">
        <w:rPr>
          <w:rFonts w:ascii="Overpass" w:hAnsi="Overpass"/>
          <w:b/>
          <w:bCs/>
          <w:color w:val="auto"/>
          <w:sz w:val="24"/>
          <w:szCs w:val="24"/>
        </w:rPr>
        <w:t>Method of Calculating Degree Classifications</w:t>
      </w:r>
      <w:bookmarkEnd w:id="3"/>
    </w:p>
    <w:p w14:paraId="222FF557" w14:textId="27731CC4" w:rsidR="009F77B2" w:rsidRPr="00382E2D" w:rsidRDefault="009F77B2" w:rsidP="009F77B2">
      <w:pPr>
        <w:rPr>
          <w:rFonts w:ascii="Overpass" w:hAnsi="Overpass" w:cs="Arial"/>
          <w:sz w:val="24"/>
          <w:szCs w:val="24"/>
        </w:rPr>
      </w:pPr>
      <w:r w:rsidRPr="00382E2D">
        <w:rPr>
          <w:rFonts w:ascii="Overpass" w:hAnsi="Overpass" w:cs="Arial"/>
          <w:sz w:val="24"/>
          <w:szCs w:val="24"/>
        </w:rPr>
        <w:t xml:space="preserve">The University uses </w:t>
      </w:r>
      <w:hyperlink r:id="rId23" w:history="1">
        <w:r w:rsidRPr="00382E2D">
          <w:rPr>
            <w:rStyle w:val="Hyperlink"/>
            <w:rFonts w:ascii="Overpass" w:hAnsi="Overpass" w:cs="Arial"/>
            <w:sz w:val="24"/>
            <w:szCs w:val="24"/>
          </w:rPr>
          <w:t>two methods of classification</w:t>
        </w:r>
      </w:hyperlink>
      <w:r w:rsidRPr="00382E2D">
        <w:rPr>
          <w:rFonts w:ascii="Overpass" w:hAnsi="Overpass" w:cs="Arial"/>
          <w:sz w:val="24"/>
          <w:szCs w:val="24"/>
        </w:rPr>
        <w:t xml:space="preserve"> for its taught degree </w:t>
      </w:r>
      <w:r w:rsidR="00596349" w:rsidRPr="00382E2D">
        <w:rPr>
          <w:rFonts w:ascii="Overpass" w:hAnsi="Overpass" w:cs="Arial"/>
          <w:sz w:val="24"/>
          <w:szCs w:val="24"/>
        </w:rPr>
        <w:t>course</w:t>
      </w:r>
      <w:r w:rsidRPr="00382E2D">
        <w:rPr>
          <w:rFonts w:ascii="Overpass" w:hAnsi="Overpass" w:cs="Arial"/>
          <w:sz w:val="24"/>
          <w:szCs w:val="24"/>
        </w:rPr>
        <w:t xml:space="preserve">s—the ‘average’ method and the ‘preponderance’ method—with students awarded the better result achieved under either methodology.  Classification under the ‘average’ method is based on the calculation of a final weighted </w:t>
      </w:r>
      <w:r w:rsidR="00596349" w:rsidRPr="00382E2D">
        <w:rPr>
          <w:rFonts w:ascii="Overpass" w:hAnsi="Overpass" w:cs="Arial"/>
          <w:sz w:val="24"/>
          <w:szCs w:val="24"/>
        </w:rPr>
        <w:t>course</w:t>
      </w:r>
      <w:r w:rsidRPr="00382E2D">
        <w:rPr>
          <w:rFonts w:ascii="Overpass" w:hAnsi="Overpass" w:cs="Arial"/>
          <w:sz w:val="24"/>
          <w:szCs w:val="24"/>
        </w:rPr>
        <w:t xml:space="preserve"> average mark, which is used to place student performance in the relevant </w:t>
      </w:r>
      <w:proofErr w:type="gramStart"/>
      <w:r w:rsidRPr="00382E2D">
        <w:rPr>
          <w:rFonts w:ascii="Overpass" w:hAnsi="Overpass" w:cs="Arial"/>
          <w:sz w:val="24"/>
          <w:szCs w:val="24"/>
        </w:rPr>
        <w:t>honours</w:t>
      </w:r>
      <w:proofErr w:type="gramEnd"/>
      <w:r w:rsidRPr="00382E2D">
        <w:rPr>
          <w:rFonts w:ascii="Overpass" w:hAnsi="Overpass" w:cs="Arial"/>
          <w:sz w:val="24"/>
          <w:szCs w:val="24"/>
        </w:rPr>
        <w:t xml:space="preserve"> degree classification band.  The ‘preponderance’ method of classification requires the achievement of a final weighted </w:t>
      </w:r>
      <w:r w:rsidR="00596349" w:rsidRPr="00382E2D">
        <w:rPr>
          <w:rFonts w:ascii="Overpass" w:hAnsi="Overpass" w:cs="Arial"/>
          <w:sz w:val="24"/>
          <w:szCs w:val="24"/>
        </w:rPr>
        <w:t>cours</w:t>
      </w:r>
      <w:r w:rsidRPr="00382E2D">
        <w:rPr>
          <w:rFonts w:ascii="Overpass" w:hAnsi="Overpass" w:cs="Arial"/>
          <w:sz w:val="24"/>
          <w:szCs w:val="24"/>
        </w:rPr>
        <w:t xml:space="preserve">e average mark that falls within 3% of the boundary for a </w:t>
      </w:r>
      <w:proofErr w:type="gramStart"/>
      <w:r w:rsidRPr="00382E2D">
        <w:rPr>
          <w:rFonts w:ascii="Overpass" w:hAnsi="Overpass" w:cs="Arial"/>
          <w:sz w:val="24"/>
          <w:szCs w:val="24"/>
        </w:rPr>
        <w:t>higher class</w:t>
      </w:r>
      <w:proofErr w:type="gramEnd"/>
      <w:r w:rsidRPr="00382E2D">
        <w:rPr>
          <w:rFonts w:ascii="Overpass" w:hAnsi="Overpass" w:cs="Arial"/>
          <w:sz w:val="24"/>
          <w:szCs w:val="24"/>
        </w:rPr>
        <w:t xml:space="preserve"> band and </w:t>
      </w:r>
      <w:r w:rsidR="00596349" w:rsidRPr="00382E2D">
        <w:rPr>
          <w:rFonts w:ascii="Overpass" w:hAnsi="Overpass" w:cs="Arial"/>
          <w:sz w:val="24"/>
          <w:szCs w:val="24"/>
        </w:rPr>
        <w:t xml:space="preserve">for </w:t>
      </w:r>
      <w:r w:rsidRPr="00382E2D">
        <w:rPr>
          <w:rFonts w:ascii="Overpass" w:hAnsi="Overpass" w:cs="Arial"/>
          <w:sz w:val="24"/>
          <w:szCs w:val="24"/>
        </w:rPr>
        <w:t xml:space="preserve">at least 50% of the contributing credits to be achieved in that higher band.  </w:t>
      </w:r>
    </w:p>
    <w:p w14:paraId="24E3C7F9" w14:textId="633D3653" w:rsidR="009F77B2" w:rsidRPr="00382E2D" w:rsidRDefault="009F77B2" w:rsidP="009F77B2">
      <w:pPr>
        <w:rPr>
          <w:rFonts w:ascii="Overpass" w:hAnsi="Overpass" w:cs="Arial"/>
          <w:sz w:val="24"/>
          <w:szCs w:val="24"/>
        </w:rPr>
      </w:pPr>
      <w:r w:rsidRPr="00382E2D">
        <w:rPr>
          <w:rFonts w:ascii="Overpass" w:hAnsi="Overpass" w:cs="Arial"/>
          <w:sz w:val="24"/>
          <w:szCs w:val="24"/>
        </w:rPr>
        <w:t xml:space="preserve">While the ‘average’ method favours those </w:t>
      </w:r>
      <w:r w:rsidR="00BC246C" w:rsidRPr="00382E2D">
        <w:rPr>
          <w:rFonts w:ascii="Overpass" w:hAnsi="Overpass" w:cs="Arial"/>
          <w:sz w:val="24"/>
          <w:szCs w:val="24"/>
        </w:rPr>
        <w:t>course</w:t>
      </w:r>
      <w:r w:rsidRPr="00382E2D">
        <w:rPr>
          <w:rFonts w:ascii="Overpass" w:hAnsi="Overpass" w:cs="Arial"/>
          <w:sz w:val="24"/>
          <w:szCs w:val="24"/>
        </w:rPr>
        <w:t xml:space="preserve">s which allow for high numerical achievement in comparatively few modules, the ‘preponderance’ method rewards more consistent achievement at a higher level across the contributing stages.  </w:t>
      </w:r>
    </w:p>
    <w:p w14:paraId="517B6C3B" w14:textId="7586134B" w:rsidR="009F77B2" w:rsidRPr="00382E2D" w:rsidRDefault="009F77B2" w:rsidP="009F77B2">
      <w:pPr>
        <w:rPr>
          <w:rFonts w:ascii="Overpass" w:hAnsi="Overpass" w:cs="Arial"/>
          <w:sz w:val="24"/>
          <w:szCs w:val="24"/>
        </w:rPr>
      </w:pPr>
      <w:r w:rsidRPr="00382E2D">
        <w:rPr>
          <w:rFonts w:ascii="Overpass" w:hAnsi="Overpass" w:cs="Arial"/>
          <w:sz w:val="24"/>
          <w:szCs w:val="24"/>
        </w:rPr>
        <w:t xml:space="preserve">Condonement and compensation may be applied to </w:t>
      </w:r>
      <w:r w:rsidR="00030748" w:rsidRPr="00382E2D">
        <w:rPr>
          <w:rFonts w:ascii="Overpass" w:hAnsi="Overpass" w:cs="Arial"/>
          <w:sz w:val="24"/>
          <w:szCs w:val="24"/>
        </w:rPr>
        <w:t xml:space="preserve">relevant </w:t>
      </w:r>
      <w:r w:rsidRPr="00382E2D">
        <w:rPr>
          <w:rFonts w:ascii="Overpass" w:hAnsi="Overpass" w:cs="Arial"/>
          <w:sz w:val="24"/>
          <w:szCs w:val="24"/>
        </w:rPr>
        <w:t>modules up to a maximum cumulative total of</w:t>
      </w:r>
      <w:r w:rsidR="00596349" w:rsidRPr="00382E2D">
        <w:rPr>
          <w:rFonts w:ascii="Overpass" w:hAnsi="Overpass" w:cs="Arial"/>
          <w:sz w:val="24"/>
          <w:szCs w:val="24"/>
        </w:rPr>
        <w:t xml:space="preserve"> 25% of</w:t>
      </w:r>
      <w:r w:rsidRPr="00382E2D">
        <w:rPr>
          <w:rFonts w:ascii="Overpass" w:hAnsi="Overpass" w:cs="Arial"/>
          <w:sz w:val="24"/>
          <w:szCs w:val="24"/>
        </w:rPr>
        <w:t xml:space="preserve"> the credit required for </w:t>
      </w:r>
      <w:r w:rsidR="00596349" w:rsidRPr="00382E2D">
        <w:rPr>
          <w:rFonts w:ascii="Overpass" w:hAnsi="Overpass" w:cs="Arial"/>
          <w:sz w:val="24"/>
          <w:szCs w:val="24"/>
        </w:rPr>
        <w:t>the</w:t>
      </w:r>
      <w:r w:rsidRPr="00382E2D">
        <w:rPr>
          <w:rFonts w:ascii="Overpass" w:hAnsi="Overpass" w:cs="Arial"/>
          <w:sz w:val="24"/>
          <w:szCs w:val="24"/>
        </w:rPr>
        <w:t xml:space="preserve"> stage, an allowance which reflects the norms of national credit systems. </w:t>
      </w:r>
    </w:p>
    <w:p w14:paraId="06F3E5EF" w14:textId="77777777" w:rsidR="009F77B2" w:rsidRPr="00382E2D" w:rsidRDefault="009F77B2" w:rsidP="009F77B2">
      <w:pPr>
        <w:rPr>
          <w:rFonts w:ascii="Overpass" w:hAnsi="Overpass" w:cs="Arial"/>
          <w:sz w:val="24"/>
          <w:szCs w:val="24"/>
        </w:rPr>
      </w:pPr>
      <w:r w:rsidRPr="00382E2D">
        <w:rPr>
          <w:rFonts w:ascii="Overpass" w:hAnsi="Overpass" w:cs="Arial"/>
          <w:sz w:val="24"/>
          <w:szCs w:val="24"/>
        </w:rPr>
        <w:t xml:space="preserve">Students are normally allowed a maximum of two reassessment opportunities where a module has been failed and compensation or condonement are not applied. Component(s) that are reassessed are not capped at the pass </w:t>
      </w:r>
      <w:proofErr w:type="gramStart"/>
      <w:r w:rsidRPr="00382E2D">
        <w:rPr>
          <w:rFonts w:ascii="Overpass" w:hAnsi="Overpass" w:cs="Arial"/>
          <w:sz w:val="24"/>
          <w:szCs w:val="24"/>
        </w:rPr>
        <w:t>mark</w:t>
      </w:r>
      <w:proofErr w:type="gramEnd"/>
      <w:r w:rsidRPr="00382E2D">
        <w:rPr>
          <w:rFonts w:ascii="Overpass" w:hAnsi="Overpass" w:cs="Arial"/>
          <w:sz w:val="24"/>
          <w:szCs w:val="24"/>
        </w:rPr>
        <w:t xml:space="preserve"> but the overall module mark is capped.</w:t>
      </w:r>
    </w:p>
    <w:p w14:paraId="55C8B4C6" w14:textId="77777777" w:rsidR="009F77B2" w:rsidRPr="00382E2D" w:rsidRDefault="009F77B2" w:rsidP="009F77B2">
      <w:pPr>
        <w:rPr>
          <w:rFonts w:ascii="Overpass" w:hAnsi="Overpass" w:cs="Arial"/>
          <w:sz w:val="24"/>
          <w:szCs w:val="24"/>
        </w:rPr>
      </w:pPr>
      <w:r w:rsidRPr="00382E2D">
        <w:rPr>
          <w:rFonts w:ascii="Overpass" w:hAnsi="Overpass" w:cs="Arial"/>
          <w:sz w:val="24"/>
          <w:szCs w:val="24"/>
        </w:rPr>
        <w:t xml:space="preserve">The University does not operate any zone of consideration for raising a ‘borderline’ performance to a higher classification band on a discretionary basis.  Classification is based on the marks achieved. </w:t>
      </w:r>
    </w:p>
    <w:p w14:paraId="0FCBFD8E" w14:textId="1D1917B8" w:rsidR="009F77B2" w:rsidRPr="00382E2D" w:rsidRDefault="009F77B2" w:rsidP="009F77B2">
      <w:pPr>
        <w:rPr>
          <w:rFonts w:ascii="Overpass" w:hAnsi="Overpass" w:cs="Arial"/>
          <w:sz w:val="24"/>
          <w:szCs w:val="24"/>
        </w:rPr>
      </w:pPr>
      <w:r w:rsidRPr="00382E2D">
        <w:rPr>
          <w:rFonts w:ascii="Overpass" w:hAnsi="Overpass" w:cs="Arial"/>
          <w:sz w:val="24"/>
          <w:szCs w:val="24"/>
        </w:rPr>
        <w:t>Details of these methods are published on the University websites and are available to students. Student’s progression/award results are communicated via Kent’s Student Data System.</w:t>
      </w:r>
    </w:p>
    <w:p w14:paraId="5940A19D" w14:textId="77777777" w:rsidR="00F56B56" w:rsidRDefault="00F56B56" w:rsidP="002C5BCE">
      <w:pPr>
        <w:pStyle w:val="Heading2"/>
        <w:rPr>
          <w:rFonts w:ascii="Overpass" w:hAnsi="Overpass"/>
          <w:b/>
          <w:bCs/>
          <w:color w:val="auto"/>
          <w:sz w:val="24"/>
          <w:szCs w:val="24"/>
        </w:rPr>
      </w:pPr>
    </w:p>
    <w:p w14:paraId="1FCADA19" w14:textId="0462B183" w:rsidR="009F77B2" w:rsidRPr="002C5BCE" w:rsidRDefault="009F77B2" w:rsidP="002C5BCE">
      <w:pPr>
        <w:pStyle w:val="Heading2"/>
        <w:rPr>
          <w:rFonts w:ascii="Overpass" w:hAnsi="Overpass"/>
          <w:b/>
          <w:bCs/>
          <w:color w:val="auto"/>
          <w:sz w:val="24"/>
          <w:szCs w:val="24"/>
        </w:rPr>
      </w:pPr>
      <w:bookmarkStart w:id="4" w:name="_Toc134092953"/>
      <w:r w:rsidRPr="002C5BCE">
        <w:rPr>
          <w:rFonts w:ascii="Overpass" w:hAnsi="Overpass"/>
          <w:b/>
          <w:bCs/>
          <w:color w:val="auto"/>
          <w:sz w:val="24"/>
          <w:szCs w:val="24"/>
        </w:rPr>
        <w:t>Academic Governance</w:t>
      </w:r>
      <w:bookmarkEnd w:id="4"/>
    </w:p>
    <w:p w14:paraId="5B650E6A" w14:textId="0C78D041" w:rsidR="00CC70BC" w:rsidRPr="00382E2D" w:rsidRDefault="009F77B2" w:rsidP="009F77B2">
      <w:pPr>
        <w:rPr>
          <w:rFonts w:ascii="Overpass" w:hAnsi="Overpass" w:cs="Arial"/>
          <w:sz w:val="24"/>
          <w:szCs w:val="24"/>
        </w:rPr>
      </w:pPr>
      <w:r w:rsidRPr="00382E2D">
        <w:rPr>
          <w:rFonts w:ascii="Overpass" w:hAnsi="Overpass" w:cs="Arial"/>
          <w:sz w:val="24"/>
          <w:szCs w:val="24"/>
        </w:rPr>
        <w:t xml:space="preserve">The University’s academic governance arrangements operate to ensure that qualifications awarded to students hold their value at the point of qualification and over time, in line with sector recognised standards.  </w:t>
      </w:r>
    </w:p>
    <w:p w14:paraId="0A177B60" w14:textId="4DCAC0D5" w:rsidR="00CC70BC" w:rsidRPr="00382E2D" w:rsidRDefault="009F77B2" w:rsidP="009F77B2">
      <w:pPr>
        <w:rPr>
          <w:rFonts w:ascii="Overpass" w:hAnsi="Overpass" w:cs="Arial"/>
          <w:sz w:val="24"/>
          <w:szCs w:val="24"/>
        </w:rPr>
      </w:pPr>
      <w:r w:rsidRPr="00382E2D">
        <w:rPr>
          <w:rFonts w:ascii="Overpass" w:hAnsi="Overpass" w:cs="Arial"/>
          <w:sz w:val="24"/>
          <w:szCs w:val="24"/>
        </w:rPr>
        <w:lastRenderedPageBreak/>
        <w:t xml:space="preserve">The University’s Education </w:t>
      </w:r>
      <w:r w:rsidR="00596349" w:rsidRPr="00382E2D">
        <w:rPr>
          <w:rFonts w:ascii="Overpass" w:hAnsi="Overpass" w:cs="Arial"/>
          <w:sz w:val="24"/>
          <w:szCs w:val="24"/>
        </w:rPr>
        <w:t xml:space="preserve">and Student Experience </w:t>
      </w:r>
      <w:r w:rsidRPr="00382E2D">
        <w:rPr>
          <w:rFonts w:ascii="Overpass" w:hAnsi="Overpass" w:cs="Arial"/>
          <w:sz w:val="24"/>
          <w:szCs w:val="24"/>
        </w:rPr>
        <w:t>Board</w:t>
      </w:r>
      <w:r w:rsidR="00596349" w:rsidRPr="00382E2D">
        <w:rPr>
          <w:rFonts w:ascii="Overpass" w:hAnsi="Overpass" w:cs="Arial"/>
          <w:sz w:val="24"/>
          <w:szCs w:val="24"/>
        </w:rPr>
        <w:t xml:space="preserve"> (ESEB)</w:t>
      </w:r>
      <w:r w:rsidRPr="00382E2D">
        <w:rPr>
          <w:rFonts w:ascii="Overpass" w:hAnsi="Overpass" w:cs="Arial"/>
          <w:sz w:val="24"/>
          <w:szCs w:val="24"/>
        </w:rPr>
        <w:t xml:space="preserve">, which includes </w:t>
      </w:r>
      <w:r w:rsidR="00596349" w:rsidRPr="00382E2D">
        <w:rPr>
          <w:rFonts w:ascii="Overpass" w:hAnsi="Overpass" w:cs="Arial"/>
          <w:sz w:val="24"/>
          <w:szCs w:val="24"/>
        </w:rPr>
        <w:t>Divisional</w:t>
      </w:r>
      <w:r w:rsidRPr="00382E2D">
        <w:rPr>
          <w:rFonts w:ascii="Overpass" w:hAnsi="Overpass" w:cs="Arial"/>
          <w:sz w:val="24"/>
          <w:szCs w:val="24"/>
        </w:rPr>
        <w:t xml:space="preserve"> representation, analyses five yearly trends in the proportions of ‘good degrees’ awarded by </w:t>
      </w:r>
      <w:r w:rsidR="00596349" w:rsidRPr="00382E2D">
        <w:rPr>
          <w:rFonts w:ascii="Overpass" w:hAnsi="Overpass" w:cs="Arial"/>
          <w:sz w:val="24"/>
          <w:szCs w:val="24"/>
        </w:rPr>
        <w:t>Divisions, partner providers</w:t>
      </w:r>
      <w:r w:rsidRPr="00382E2D">
        <w:rPr>
          <w:rFonts w:ascii="Overpass" w:hAnsi="Overpass" w:cs="Arial"/>
          <w:sz w:val="24"/>
          <w:szCs w:val="24"/>
        </w:rPr>
        <w:t xml:space="preserve"> and campus of delivery at its first meeting in the academic year.  </w:t>
      </w:r>
    </w:p>
    <w:p w14:paraId="371A8C13" w14:textId="6148FEF4" w:rsidR="00770B39" w:rsidRPr="00382E2D" w:rsidRDefault="009F77B2" w:rsidP="00514849">
      <w:pPr>
        <w:rPr>
          <w:rFonts w:ascii="Overpass" w:hAnsi="Overpass" w:cs="Arial"/>
          <w:sz w:val="24"/>
          <w:szCs w:val="24"/>
        </w:rPr>
      </w:pPr>
      <w:r w:rsidRPr="00382E2D">
        <w:rPr>
          <w:rFonts w:ascii="Overpass" w:hAnsi="Overpass" w:cs="Arial"/>
          <w:sz w:val="24"/>
          <w:szCs w:val="24"/>
        </w:rPr>
        <w:t xml:space="preserve">Similarly, the recommendations to the University made by external examiners in their annual reports are considered in detail by </w:t>
      </w:r>
      <w:r w:rsidR="00596349" w:rsidRPr="00382E2D">
        <w:rPr>
          <w:rFonts w:ascii="Overpass" w:hAnsi="Overpass" w:cs="Arial"/>
          <w:sz w:val="24"/>
          <w:szCs w:val="24"/>
        </w:rPr>
        <w:t>ESEB</w:t>
      </w:r>
      <w:r w:rsidRPr="00382E2D">
        <w:rPr>
          <w:rFonts w:ascii="Overpass" w:hAnsi="Overpass" w:cs="Arial"/>
          <w:sz w:val="24"/>
          <w:szCs w:val="24"/>
        </w:rPr>
        <w:t xml:space="preserve"> and are again summarised for the benefit of Senate and Council.  The awards made by partner providers are subject to these same procedures for quality assurance.  In this way the University’s governance arrangements function to ensure that </w:t>
      </w:r>
      <w:r w:rsidR="00596349" w:rsidRPr="00382E2D">
        <w:rPr>
          <w:rFonts w:ascii="Overpass" w:hAnsi="Overpass" w:cs="Arial"/>
          <w:sz w:val="24"/>
          <w:szCs w:val="24"/>
        </w:rPr>
        <w:t>the level of student attainment is</w:t>
      </w:r>
      <w:r w:rsidRPr="00382E2D">
        <w:rPr>
          <w:rFonts w:ascii="Overpass" w:hAnsi="Overpass" w:cs="Arial"/>
          <w:sz w:val="24"/>
          <w:szCs w:val="24"/>
        </w:rPr>
        <w:t xml:space="preserve"> reviewed appropriately </w:t>
      </w:r>
      <w:r w:rsidR="00596349" w:rsidRPr="00382E2D">
        <w:rPr>
          <w:rFonts w:ascii="Overpass" w:hAnsi="Overpass" w:cs="Arial"/>
          <w:sz w:val="24"/>
          <w:szCs w:val="24"/>
        </w:rPr>
        <w:t xml:space="preserve">year-on-year </w:t>
      </w:r>
      <w:r w:rsidRPr="00382E2D">
        <w:rPr>
          <w:rFonts w:ascii="Overpass" w:hAnsi="Overpass" w:cs="Arial"/>
          <w:sz w:val="24"/>
          <w:szCs w:val="24"/>
        </w:rPr>
        <w:t>and</w:t>
      </w:r>
      <w:r w:rsidR="00596349" w:rsidRPr="00382E2D">
        <w:rPr>
          <w:rFonts w:ascii="Overpass" w:hAnsi="Overpass" w:cs="Arial"/>
          <w:sz w:val="24"/>
          <w:szCs w:val="24"/>
        </w:rPr>
        <w:t xml:space="preserve"> that academic standards are </w:t>
      </w:r>
      <w:r w:rsidRPr="00382E2D">
        <w:rPr>
          <w:rFonts w:ascii="Overpass" w:hAnsi="Overpass" w:cs="Arial"/>
          <w:sz w:val="24"/>
          <w:szCs w:val="24"/>
        </w:rPr>
        <w:t>maintained</w:t>
      </w:r>
      <w:r w:rsidR="00596349" w:rsidRPr="00382E2D">
        <w:rPr>
          <w:rFonts w:ascii="Overpass" w:hAnsi="Overpass" w:cs="Arial"/>
          <w:sz w:val="24"/>
          <w:szCs w:val="24"/>
        </w:rPr>
        <w:t xml:space="preserve"> over time</w:t>
      </w:r>
      <w:r w:rsidRPr="00382E2D">
        <w:rPr>
          <w:rFonts w:ascii="Overpass" w:hAnsi="Overpass" w:cs="Arial"/>
          <w:sz w:val="24"/>
          <w:szCs w:val="24"/>
        </w:rPr>
        <w:t>.</w:t>
      </w:r>
    </w:p>
    <w:p w14:paraId="38C43AC9" w14:textId="77777777" w:rsidR="00382E2D" w:rsidRDefault="00382E2D" w:rsidP="002C5BCE">
      <w:pPr>
        <w:pStyle w:val="Heading2"/>
        <w:rPr>
          <w:rFonts w:ascii="Overpass" w:hAnsi="Overpass"/>
          <w:b/>
          <w:bCs/>
          <w:color w:val="auto"/>
          <w:sz w:val="24"/>
          <w:szCs w:val="24"/>
        </w:rPr>
      </w:pPr>
    </w:p>
    <w:p w14:paraId="43DC69FA" w14:textId="782B8618" w:rsidR="009F77B2" w:rsidRDefault="009F77B2" w:rsidP="002C5BCE">
      <w:pPr>
        <w:pStyle w:val="Heading2"/>
        <w:rPr>
          <w:rFonts w:ascii="Overpass" w:hAnsi="Overpass"/>
          <w:b/>
          <w:bCs/>
          <w:color w:val="auto"/>
          <w:sz w:val="24"/>
          <w:szCs w:val="24"/>
        </w:rPr>
      </w:pPr>
      <w:bookmarkStart w:id="5" w:name="_Toc134092954"/>
      <w:r w:rsidRPr="00514849">
        <w:rPr>
          <w:rFonts w:ascii="Overpass" w:hAnsi="Overpass"/>
          <w:b/>
          <w:bCs/>
          <w:color w:val="auto"/>
          <w:sz w:val="24"/>
          <w:szCs w:val="24"/>
        </w:rPr>
        <w:t>Learning and Teaching Practices</w:t>
      </w:r>
      <w:bookmarkEnd w:id="5"/>
    </w:p>
    <w:p w14:paraId="7BDBC3A5" w14:textId="77777777" w:rsidR="00514849" w:rsidRPr="00382E2D" w:rsidRDefault="00514849" w:rsidP="00514849">
      <w:pPr>
        <w:rPr>
          <w:rFonts w:ascii="Overpass" w:hAnsi="Overpass" w:cs="Arial"/>
          <w:sz w:val="24"/>
          <w:szCs w:val="24"/>
        </w:rPr>
      </w:pPr>
      <w:r w:rsidRPr="00382E2D">
        <w:rPr>
          <w:rFonts w:ascii="Overpass" w:hAnsi="Overpass" w:cs="Arial"/>
          <w:sz w:val="24"/>
          <w:szCs w:val="24"/>
        </w:rPr>
        <w:t xml:space="preserve">The University has continued to make a range of enhancements to teaching practices and the student learning environment in 2021-22, in response to the return to ‘on campus’ delivery following the pandemic, we have: </w:t>
      </w:r>
    </w:p>
    <w:p w14:paraId="38ED7C17" w14:textId="406575C8" w:rsidR="00514849" w:rsidRPr="00382E2D" w:rsidRDefault="00514849" w:rsidP="00514849">
      <w:pPr>
        <w:pStyle w:val="ListParagraph"/>
        <w:numPr>
          <w:ilvl w:val="0"/>
          <w:numId w:val="6"/>
        </w:numPr>
        <w:rPr>
          <w:rFonts w:ascii="Overpass" w:hAnsi="Overpass" w:cs="Arial"/>
          <w:sz w:val="24"/>
          <w:szCs w:val="24"/>
        </w:rPr>
      </w:pPr>
      <w:r w:rsidRPr="00382E2D">
        <w:rPr>
          <w:rFonts w:ascii="Overpass" w:hAnsi="Overpass" w:cs="Arial"/>
          <w:sz w:val="24"/>
          <w:szCs w:val="24"/>
        </w:rPr>
        <w:t xml:space="preserve">successfully transitioned to a blend of synchronous and asynchronous teaching at the height of the pandemic, </w:t>
      </w:r>
      <w:r w:rsidR="00AC4CEF">
        <w:rPr>
          <w:rFonts w:ascii="Overpass" w:hAnsi="Overpass" w:cs="Arial"/>
          <w:sz w:val="24"/>
          <w:szCs w:val="24"/>
        </w:rPr>
        <w:t xml:space="preserve">in which </w:t>
      </w:r>
      <w:proofErr w:type="gramStart"/>
      <w:r w:rsidRPr="00382E2D">
        <w:rPr>
          <w:rFonts w:ascii="Overpass" w:hAnsi="Overpass" w:cs="Arial"/>
          <w:sz w:val="24"/>
          <w:szCs w:val="24"/>
        </w:rPr>
        <w:t>the majority of</w:t>
      </w:r>
      <w:proofErr w:type="gramEnd"/>
      <w:r w:rsidRPr="00382E2D">
        <w:rPr>
          <w:rFonts w:ascii="Overpass" w:hAnsi="Overpass" w:cs="Arial"/>
          <w:sz w:val="24"/>
          <w:szCs w:val="24"/>
        </w:rPr>
        <w:t xml:space="preserve"> our students returned to in person teaching on campus, although some students were approved to continue to study remotely due to local Covid restrictions. Of note</w:t>
      </w:r>
      <w:r w:rsidR="00AC4CEF">
        <w:rPr>
          <w:rFonts w:ascii="Overpass" w:hAnsi="Overpass" w:cs="Arial"/>
          <w:sz w:val="24"/>
          <w:szCs w:val="24"/>
        </w:rPr>
        <w:t xml:space="preserve"> </w:t>
      </w:r>
      <w:r w:rsidRPr="00382E2D">
        <w:rPr>
          <w:rFonts w:ascii="Overpass" w:hAnsi="Overpass" w:cs="Arial"/>
          <w:sz w:val="24"/>
          <w:szCs w:val="24"/>
        </w:rPr>
        <w:t xml:space="preserve">were the positive responses received to the optional questions in NSS 2021, which revealed that 75% students agreed they had received ‘useful’ and ‘timely’ (67%) information about the changes made to their courses to adapt to pandemic conditions; 79% agreed that they had been able to access the learning resources required for them to study remotely. Over 77% of students agreed that the University had taken sufficient steps to protect student safety, an outcome that reflected our ranked priorities of ‘Safe, Study, Social’ at Kent and the efforts we made to provide information and address concerns through regular student webinars. </w:t>
      </w:r>
    </w:p>
    <w:p w14:paraId="09BE4E9B" w14:textId="77777777" w:rsidR="00514849" w:rsidRPr="00382E2D" w:rsidRDefault="00514849" w:rsidP="00514849">
      <w:pPr>
        <w:pStyle w:val="ListParagraph"/>
        <w:numPr>
          <w:ilvl w:val="0"/>
          <w:numId w:val="6"/>
        </w:numPr>
        <w:rPr>
          <w:rFonts w:ascii="Overpass" w:hAnsi="Overpass" w:cs="Arial"/>
          <w:sz w:val="24"/>
          <w:szCs w:val="24"/>
        </w:rPr>
      </w:pPr>
      <w:r w:rsidRPr="00382E2D">
        <w:rPr>
          <w:rFonts w:ascii="Overpass" w:hAnsi="Overpass" w:cs="Arial"/>
          <w:sz w:val="24"/>
          <w:szCs w:val="24"/>
        </w:rPr>
        <w:t xml:space="preserve">enhanced our registration, </w:t>
      </w:r>
      <w:proofErr w:type="gramStart"/>
      <w:r w:rsidRPr="00382E2D">
        <w:rPr>
          <w:rFonts w:ascii="Overpass" w:hAnsi="Overpass" w:cs="Arial"/>
          <w:sz w:val="24"/>
          <w:szCs w:val="24"/>
        </w:rPr>
        <w:t>transition</w:t>
      </w:r>
      <w:proofErr w:type="gramEnd"/>
      <w:r w:rsidRPr="00382E2D">
        <w:rPr>
          <w:rFonts w:ascii="Overpass" w:hAnsi="Overpass" w:cs="Arial"/>
          <w:sz w:val="24"/>
          <w:szCs w:val="24"/>
        </w:rPr>
        <w:t xml:space="preserve"> and Welcome Week activities by offering online activities pre-arrival, as well as range of on campus sessions for academic and student services before the start of term. Our enforced Digital First approach due to the pandemic led to the design and development of a remote registration process and a pre-arrivals student experience activity programme that included University Student Services Fair, with online guidance and advice about adapting to </w:t>
      </w:r>
      <w:proofErr w:type="gramStart"/>
      <w:r w:rsidRPr="00382E2D">
        <w:rPr>
          <w:rFonts w:ascii="Overpass" w:hAnsi="Overpass" w:cs="Arial"/>
          <w:sz w:val="24"/>
          <w:szCs w:val="24"/>
        </w:rPr>
        <w:t>University</w:t>
      </w:r>
      <w:proofErr w:type="gramEnd"/>
      <w:r w:rsidRPr="00382E2D">
        <w:rPr>
          <w:rFonts w:ascii="Overpass" w:hAnsi="Overpass" w:cs="Arial"/>
          <w:sz w:val="24"/>
          <w:szCs w:val="24"/>
        </w:rPr>
        <w:t xml:space="preserve"> study and life. We have continued this extended transition support both before and after Welcome Week with refreshers sessions, including an events calendar, arrivals guide and online resources and </w:t>
      </w:r>
      <w:r w:rsidRPr="00382E2D">
        <w:rPr>
          <w:rFonts w:ascii="Overpass" w:hAnsi="Overpass" w:cs="Arial"/>
          <w:sz w:val="24"/>
          <w:szCs w:val="24"/>
        </w:rPr>
        <w:lastRenderedPageBreak/>
        <w:t>activities promoted via dedicated Welcome webpages and Uni Kent Student App (7,850 users in September 2021).</w:t>
      </w:r>
    </w:p>
    <w:p w14:paraId="64DA5863" w14:textId="77777777" w:rsidR="00514849" w:rsidRPr="00382E2D" w:rsidRDefault="00514849" w:rsidP="00514849">
      <w:pPr>
        <w:pStyle w:val="ListParagraph"/>
        <w:numPr>
          <w:ilvl w:val="0"/>
          <w:numId w:val="6"/>
        </w:numPr>
        <w:rPr>
          <w:rFonts w:ascii="Overpass" w:hAnsi="Overpass" w:cs="Arial"/>
          <w:sz w:val="24"/>
          <w:szCs w:val="24"/>
        </w:rPr>
      </w:pPr>
      <w:r w:rsidRPr="00382E2D">
        <w:rPr>
          <w:rFonts w:ascii="Overpass" w:hAnsi="Overpass" w:cs="Arial"/>
          <w:sz w:val="24"/>
          <w:szCs w:val="24"/>
        </w:rPr>
        <w:t>extended our Digital Library (512,000 additional e-books purchased up to 2021</w:t>
      </w:r>
      <w:proofErr w:type="gramStart"/>
      <w:r w:rsidRPr="00382E2D">
        <w:rPr>
          <w:rFonts w:ascii="Overpass" w:hAnsi="Overpass" w:cs="Arial"/>
          <w:sz w:val="24"/>
          <w:szCs w:val="24"/>
        </w:rPr>
        <w:t>),  tailored</w:t>
      </w:r>
      <w:proofErr w:type="gramEnd"/>
      <w:r w:rsidRPr="00382E2D">
        <w:rPr>
          <w:rFonts w:ascii="Overpass" w:hAnsi="Overpass" w:cs="Arial"/>
          <w:sz w:val="24"/>
          <w:szCs w:val="24"/>
        </w:rPr>
        <w:t xml:space="preserve"> to academic need and supporting wider demographic shifts in our student profile by embedding inclusive resources. Through engaging students in purchasing schemes and resource decisions, we have procured 2,049 e-book titles and embedded disciplinary-focused information skills training for students in the curriculum (librarians delivered 8,400 sessions in 2021). This supported access to, and critical appraisal of resources, that included 2,385 academic reading lists for course and modules alongside disciplinary research databases (e.g., for final year dissertations).</w:t>
      </w:r>
    </w:p>
    <w:p w14:paraId="277DC421" w14:textId="497EF321" w:rsidR="00514849" w:rsidRPr="00382E2D" w:rsidRDefault="00514849" w:rsidP="00514849">
      <w:pPr>
        <w:pStyle w:val="ListParagraph"/>
        <w:numPr>
          <w:ilvl w:val="0"/>
          <w:numId w:val="6"/>
        </w:numPr>
        <w:rPr>
          <w:rFonts w:ascii="Overpass" w:hAnsi="Overpass" w:cs="Arial"/>
          <w:sz w:val="24"/>
          <w:szCs w:val="24"/>
        </w:rPr>
      </w:pPr>
      <w:r w:rsidRPr="00382E2D">
        <w:rPr>
          <w:rFonts w:ascii="Overpass" w:hAnsi="Overpass" w:cs="Arial"/>
          <w:sz w:val="24"/>
          <w:szCs w:val="24"/>
        </w:rPr>
        <w:t>continued to enhance our digital pedagogical practices using technology enhanced learning (TEL) developments, with our internal Moodle modules (Digitally Enhanced Education for staff; Online Learning at Kent for students) being well</w:t>
      </w:r>
      <w:r w:rsidR="00913E12">
        <w:rPr>
          <w:rFonts w:ascii="Overpass" w:hAnsi="Overpass" w:cs="Arial"/>
          <w:sz w:val="24"/>
          <w:szCs w:val="24"/>
        </w:rPr>
        <w:t>-</w:t>
      </w:r>
      <w:r w:rsidRPr="00382E2D">
        <w:rPr>
          <w:rFonts w:ascii="Overpass" w:hAnsi="Overpass" w:cs="Arial"/>
          <w:sz w:val="24"/>
          <w:szCs w:val="24"/>
        </w:rPr>
        <w:t xml:space="preserve">used and supplemented by regular staff and student webinars. For 2021 (2022), the staff course had 826 (139) unique users and 1,497 (262) views and the student course had 11,291 (6,069) unique users and 29,611 (17,219) views. Students first access this material in a Welcome Week webinar (3,300 views). The Digitally Enhanced Education (DEE) webinar series brings together experts and prestigious speakers from around the world to share practice, exchange ideas and forge professional relationships. The DEE webinar series continues to attract a global audience of 4,779 people (with 2,612 attendees) and has focused on a range of topics including online pedagogy, digital accessibility, electronic </w:t>
      </w:r>
      <w:proofErr w:type="gramStart"/>
      <w:r w:rsidRPr="00382E2D">
        <w:rPr>
          <w:rFonts w:ascii="Overpass" w:hAnsi="Overpass" w:cs="Arial"/>
          <w:sz w:val="24"/>
          <w:szCs w:val="24"/>
        </w:rPr>
        <w:t>assessment</w:t>
      </w:r>
      <w:proofErr w:type="gramEnd"/>
      <w:r w:rsidRPr="00382E2D">
        <w:rPr>
          <w:rFonts w:ascii="Overpass" w:hAnsi="Overpass" w:cs="Arial"/>
          <w:sz w:val="24"/>
          <w:szCs w:val="24"/>
        </w:rPr>
        <w:t xml:space="preserve"> and post-pandemic teaching. The Association for Learning Technology recognised Dr Phil Anthony (Head of Technology Enhanced Learning) as ALT Learning Technologist of the Year 2021 for ‘sharing practices in TEL with a global audience’, that also demonstrates Kent’s ongoing commitment to delivering an outstanding digital teaching and learning experience for our staff and students.</w:t>
      </w:r>
    </w:p>
    <w:p w14:paraId="1ED9EAA0" w14:textId="3B54923E" w:rsidR="00514849" w:rsidRPr="00382E2D" w:rsidRDefault="00514849" w:rsidP="00514849">
      <w:pPr>
        <w:pStyle w:val="ListParagraph"/>
        <w:numPr>
          <w:ilvl w:val="0"/>
          <w:numId w:val="6"/>
        </w:numPr>
        <w:rPr>
          <w:rFonts w:ascii="Overpass" w:hAnsi="Overpass" w:cs="Arial"/>
          <w:sz w:val="24"/>
          <w:szCs w:val="24"/>
        </w:rPr>
      </w:pPr>
      <w:r w:rsidRPr="00382E2D">
        <w:rPr>
          <w:rFonts w:ascii="Overpass" w:hAnsi="Overpass" w:cs="Arial"/>
          <w:sz w:val="24"/>
          <w:szCs w:val="24"/>
        </w:rPr>
        <w:t>taken significant action to ensure that our graduates are employable and can be supported into employment by having staff dedicated to placements and employability in each Division for all students. In addition, our Careers Advisers provide tailored support for specific student groups to address their needs and inequities in terms of employment. For example, there is now specialised central support for POLAR Q1&amp;2 finalists and ‘at risk’ graduates with a specialist team (</w:t>
      </w:r>
      <w:proofErr w:type="spellStart"/>
      <w:r w:rsidRPr="00382E2D">
        <w:rPr>
          <w:rFonts w:ascii="Overpass" w:hAnsi="Overpass" w:cs="Arial"/>
          <w:sz w:val="24"/>
          <w:szCs w:val="24"/>
        </w:rPr>
        <w:t>GradCore</w:t>
      </w:r>
      <w:proofErr w:type="spellEnd"/>
      <w:r w:rsidRPr="00382E2D">
        <w:rPr>
          <w:rFonts w:ascii="Overpass" w:hAnsi="Overpass" w:cs="Arial"/>
          <w:sz w:val="24"/>
          <w:szCs w:val="24"/>
        </w:rPr>
        <w:t>)</w:t>
      </w:r>
      <w:r w:rsidR="00C85E9A">
        <w:rPr>
          <w:rFonts w:ascii="Overpass" w:hAnsi="Overpass" w:cs="Arial"/>
          <w:sz w:val="24"/>
          <w:szCs w:val="24"/>
        </w:rPr>
        <w:t>,</w:t>
      </w:r>
      <w:r w:rsidRPr="00382E2D">
        <w:rPr>
          <w:rFonts w:ascii="Overpass" w:hAnsi="Overpass" w:cs="Arial"/>
          <w:sz w:val="24"/>
          <w:szCs w:val="24"/>
        </w:rPr>
        <w:t xml:space="preserve"> who deliver a programme targeting unemployed or underemployed graduates (~500 per year), </w:t>
      </w:r>
      <w:r w:rsidR="009E79CF">
        <w:rPr>
          <w:rFonts w:ascii="Overpass" w:hAnsi="Overpass" w:cs="Arial"/>
          <w:sz w:val="24"/>
          <w:szCs w:val="24"/>
        </w:rPr>
        <w:t>along with</w:t>
      </w:r>
      <w:r w:rsidRPr="00382E2D">
        <w:rPr>
          <w:rFonts w:ascii="Overpass" w:hAnsi="Overpass" w:cs="Arial"/>
          <w:sz w:val="24"/>
          <w:szCs w:val="24"/>
        </w:rPr>
        <w:t xml:space="preserve"> our Destination Success </w:t>
      </w:r>
      <w:bookmarkStart w:id="6" w:name="_Hlk120283790"/>
      <w:r w:rsidRPr="00382E2D">
        <w:rPr>
          <w:rFonts w:ascii="Overpass" w:hAnsi="Overpass" w:cs="Arial"/>
          <w:sz w:val="24"/>
          <w:szCs w:val="24"/>
        </w:rPr>
        <w:t xml:space="preserve">Bootcamp for POLAR 1&amp;2 students around career readiness. </w:t>
      </w:r>
      <w:bookmarkEnd w:id="6"/>
      <w:r w:rsidRPr="00382E2D">
        <w:rPr>
          <w:rFonts w:ascii="Overpass" w:hAnsi="Overpass" w:cs="Arial"/>
          <w:sz w:val="24"/>
          <w:szCs w:val="24"/>
        </w:rPr>
        <w:t xml:space="preserve">In 2021/22, these </w:t>
      </w:r>
      <w:r w:rsidRPr="00382E2D">
        <w:rPr>
          <w:rFonts w:ascii="Overpass" w:hAnsi="Overpass" w:cs="Arial"/>
          <w:sz w:val="24"/>
          <w:szCs w:val="24"/>
        </w:rPr>
        <w:lastRenderedPageBreak/>
        <w:t xml:space="preserve">advisers moved 68.3% of graduates in this group into positive outcomes, and of the graduates who found work, 71% went into highly skilled employment. When working with finalists in POLAR Q1 and 2, 77.7% had positive outcomes, and of those in employment, 77% went into highly skilled employment. </w:t>
      </w:r>
    </w:p>
    <w:p w14:paraId="290ABE4A" w14:textId="7909BD4F" w:rsidR="00514849" w:rsidRPr="00382E2D" w:rsidRDefault="00514849" w:rsidP="00514849">
      <w:pPr>
        <w:pStyle w:val="ListParagraph"/>
        <w:numPr>
          <w:ilvl w:val="0"/>
          <w:numId w:val="6"/>
        </w:numPr>
        <w:rPr>
          <w:rFonts w:ascii="Overpass" w:hAnsi="Overpass" w:cs="Arial"/>
          <w:sz w:val="24"/>
          <w:szCs w:val="24"/>
        </w:rPr>
      </w:pPr>
      <w:r w:rsidRPr="00382E2D">
        <w:rPr>
          <w:rFonts w:ascii="Overpass" w:hAnsi="Overpass" w:cs="Arial"/>
          <w:sz w:val="24"/>
          <w:szCs w:val="24"/>
        </w:rPr>
        <w:t>achieved successful re-accreditation of our Higher Education Academy (Advance HE) professional development programmes and CPD provision with several commendations for ‘demonstrating a clear institutional priority to championing teaching excellence, through its Academic Career Map and promotion policy’</w:t>
      </w:r>
      <w:r w:rsidR="00671CC5">
        <w:rPr>
          <w:rFonts w:ascii="Overpass" w:hAnsi="Overpass" w:cs="Arial"/>
          <w:sz w:val="24"/>
          <w:szCs w:val="24"/>
        </w:rPr>
        <w:t>,</w:t>
      </w:r>
      <w:r w:rsidRPr="00382E2D">
        <w:rPr>
          <w:rFonts w:ascii="Overpass" w:hAnsi="Overpass" w:cs="Arial"/>
          <w:sz w:val="24"/>
          <w:szCs w:val="24"/>
        </w:rPr>
        <w:t xml:space="preserve"> </w:t>
      </w:r>
      <w:r w:rsidR="00671CC5">
        <w:rPr>
          <w:rFonts w:ascii="Overpass" w:hAnsi="Overpass" w:cs="Arial"/>
          <w:sz w:val="24"/>
          <w:szCs w:val="24"/>
        </w:rPr>
        <w:t>as well as</w:t>
      </w:r>
      <w:r w:rsidRPr="00382E2D">
        <w:rPr>
          <w:rFonts w:ascii="Overpass" w:hAnsi="Overpass" w:cs="Arial"/>
          <w:sz w:val="24"/>
          <w:szCs w:val="24"/>
        </w:rPr>
        <w:t xml:space="preserve"> ‘the impressive number of staff with relevant Fellowships’, </w:t>
      </w:r>
      <w:r w:rsidR="00ED5783">
        <w:rPr>
          <w:rFonts w:ascii="Overpass" w:hAnsi="Overpass" w:cs="Arial"/>
          <w:sz w:val="24"/>
          <w:szCs w:val="24"/>
        </w:rPr>
        <w:t xml:space="preserve">which </w:t>
      </w:r>
      <w:r w:rsidR="007053AC">
        <w:rPr>
          <w:rFonts w:ascii="Overpass" w:hAnsi="Overpass" w:cs="Arial"/>
          <w:sz w:val="24"/>
          <w:szCs w:val="24"/>
        </w:rPr>
        <w:t>is significantly</w:t>
      </w:r>
      <w:r w:rsidRPr="00382E2D">
        <w:rPr>
          <w:rFonts w:ascii="Overpass" w:hAnsi="Overpass" w:cs="Arial"/>
          <w:sz w:val="24"/>
          <w:szCs w:val="24"/>
        </w:rPr>
        <w:t xml:space="preserve"> above the sector average. The ‘innovative new (Leadership in Education and Academic Practice (LEAP) programme’ was launched to support Fellows wishing to develop their leadership and scholarship practice towards Senior Fellowship. Academic staff are successfully achieving promotion to Senior Lecturer/Reader/Professor based on evidence of teaching excellence through their leadership and scholarship. </w:t>
      </w:r>
    </w:p>
    <w:p w14:paraId="1C32DF46" w14:textId="50050E0F" w:rsidR="00514849" w:rsidRPr="00382E2D" w:rsidRDefault="00514849" w:rsidP="00514849">
      <w:pPr>
        <w:pStyle w:val="ListParagraph"/>
        <w:numPr>
          <w:ilvl w:val="0"/>
          <w:numId w:val="6"/>
        </w:numPr>
        <w:rPr>
          <w:rFonts w:ascii="Overpass" w:hAnsi="Overpass" w:cs="Arial"/>
          <w:sz w:val="24"/>
          <w:szCs w:val="24"/>
        </w:rPr>
      </w:pPr>
      <w:r w:rsidRPr="00382E2D">
        <w:rPr>
          <w:rFonts w:ascii="Overpass" w:hAnsi="Overpass" w:cs="Arial"/>
          <w:sz w:val="24"/>
          <w:szCs w:val="24"/>
        </w:rPr>
        <w:t xml:space="preserve">Academic and professional services for students have been enhanced during the pandemic, with </w:t>
      </w:r>
      <w:r w:rsidR="00F86974">
        <w:rPr>
          <w:rFonts w:ascii="Overpass" w:hAnsi="Overpass" w:cs="Arial"/>
          <w:sz w:val="24"/>
          <w:szCs w:val="24"/>
        </w:rPr>
        <w:t>a greater range of</w:t>
      </w:r>
      <w:r w:rsidRPr="00382E2D">
        <w:rPr>
          <w:rFonts w:ascii="Overpass" w:hAnsi="Overpass" w:cs="Arial"/>
          <w:sz w:val="24"/>
          <w:szCs w:val="24"/>
        </w:rPr>
        <w:t xml:space="preserve"> services and resources being delivered online, as well as on campus and demand has remained high. We have continued to monitor the impact of our No Detriment policies (with 2020/without 2021 the safety net) on student performance and attainment gaps during Covid. The majority of exams in 2022 continued to be conducted online where overall, attainment increased (~2-4%) and gaps were significantly reduced (especially for Black and Asian </w:t>
      </w:r>
      <w:proofErr w:type="gramStart"/>
      <w:r w:rsidRPr="00382E2D">
        <w:rPr>
          <w:rFonts w:ascii="Overpass" w:hAnsi="Overpass" w:cs="Arial"/>
          <w:sz w:val="24"/>
          <w:szCs w:val="24"/>
        </w:rPr>
        <w:t>students</w:t>
      </w:r>
      <w:proofErr w:type="gramEnd"/>
      <w:r w:rsidRPr="00382E2D">
        <w:rPr>
          <w:rFonts w:ascii="Overpass" w:hAnsi="Overpass" w:cs="Arial"/>
          <w:sz w:val="24"/>
          <w:szCs w:val="24"/>
        </w:rPr>
        <w:t xml:space="preserve"> vs White). We are conducting further evaluation and research to understand better how academic delivery and assessment modes can level up outcomes for all our students to inform the upcoming TEF and our actions/targets for our Access Participation Plan. </w:t>
      </w:r>
    </w:p>
    <w:p w14:paraId="43EB9C47" w14:textId="77777777" w:rsidR="00346655" w:rsidRDefault="00346655" w:rsidP="002C5BCE">
      <w:pPr>
        <w:pStyle w:val="Heading2"/>
        <w:rPr>
          <w:rFonts w:ascii="Overpass" w:hAnsi="Overpass"/>
          <w:b/>
          <w:bCs/>
          <w:color w:val="auto"/>
          <w:sz w:val="24"/>
          <w:szCs w:val="24"/>
        </w:rPr>
      </w:pPr>
    </w:p>
    <w:p w14:paraId="4B42DDE1" w14:textId="77777777" w:rsidR="00F56B56" w:rsidRDefault="00F56B56" w:rsidP="002C5BCE">
      <w:pPr>
        <w:pStyle w:val="Heading2"/>
        <w:rPr>
          <w:rFonts w:ascii="Overpass" w:hAnsi="Overpass"/>
          <w:b/>
          <w:bCs/>
          <w:color w:val="auto"/>
          <w:sz w:val="24"/>
          <w:szCs w:val="24"/>
        </w:rPr>
      </w:pPr>
    </w:p>
    <w:p w14:paraId="4FF7021B" w14:textId="1F84F8A0" w:rsidR="00CC70BC" w:rsidRPr="002C5BCE" w:rsidRDefault="00CC70BC" w:rsidP="002C5BCE">
      <w:pPr>
        <w:pStyle w:val="Heading2"/>
        <w:rPr>
          <w:rFonts w:ascii="Overpass" w:hAnsi="Overpass" w:cs="Arial"/>
          <w:b/>
          <w:bCs/>
        </w:rPr>
      </w:pPr>
      <w:bookmarkStart w:id="7" w:name="_Toc134092955"/>
      <w:r w:rsidRPr="000067BE">
        <w:rPr>
          <w:rFonts w:ascii="Overpass" w:hAnsi="Overpass"/>
          <w:b/>
          <w:bCs/>
          <w:color w:val="auto"/>
          <w:sz w:val="24"/>
          <w:szCs w:val="24"/>
        </w:rPr>
        <w:t>Conclusions and Recommendations</w:t>
      </w:r>
      <w:bookmarkEnd w:id="7"/>
      <w:r w:rsidRPr="002C5BCE">
        <w:rPr>
          <w:rFonts w:ascii="Overpass" w:hAnsi="Overpass" w:cs="Arial"/>
          <w:b/>
          <w:bCs/>
        </w:rPr>
        <w:t xml:space="preserve"> </w:t>
      </w:r>
    </w:p>
    <w:p w14:paraId="2BA1AE24" w14:textId="38EE7132" w:rsidR="00334894" w:rsidRPr="00C0092D" w:rsidRDefault="00B3158E">
      <w:pPr>
        <w:rPr>
          <w:rFonts w:ascii="Overpass" w:hAnsi="Overpass" w:cs="Arial"/>
          <w:sz w:val="24"/>
          <w:szCs w:val="24"/>
        </w:rPr>
      </w:pPr>
      <w:r w:rsidRPr="00C0092D">
        <w:rPr>
          <w:rFonts w:ascii="Overpass" w:hAnsi="Overpass" w:cs="Arial"/>
          <w:sz w:val="24"/>
          <w:szCs w:val="24"/>
        </w:rPr>
        <w:t xml:space="preserve">The Education and Student Experience Board notes that UG degree outcomes </w:t>
      </w:r>
      <w:r w:rsidR="00663505" w:rsidRPr="00C0092D">
        <w:rPr>
          <w:rFonts w:ascii="Overpass" w:hAnsi="Overpass" w:cs="Arial"/>
          <w:sz w:val="24"/>
          <w:szCs w:val="24"/>
        </w:rPr>
        <w:t>have reduced in 2021/22</w:t>
      </w:r>
      <w:r w:rsidR="00B42D8D" w:rsidRPr="00C0092D">
        <w:rPr>
          <w:rFonts w:ascii="Overpass" w:hAnsi="Overpass" w:cs="Arial"/>
          <w:sz w:val="24"/>
          <w:szCs w:val="24"/>
        </w:rPr>
        <w:t xml:space="preserve">, however </w:t>
      </w:r>
      <w:r w:rsidR="000B264F" w:rsidRPr="00C0092D">
        <w:rPr>
          <w:rFonts w:ascii="Overpass" w:hAnsi="Overpass" w:cs="Arial"/>
          <w:sz w:val="24"/>
          <w:szCs w:val="24"/>
        </w:rPr>
        <w:t xml:space="preserve">the proportion of first class and upper second-class honours degrees awarded (85%) has not dropped to the pre-pandemic levels. </w:t>
      </w:r>
      <w:r w:rsidR="00774838" w:rsidRPr="00C0092D">
        <w:rPr>
          <w:rFonts w:ascii="Overpass" w:hAnsi="Overpass" w:cs="Arial"/>
          <w:sz w:val="24"/>
          <w:szCs w:val="24"/>
        </w:rPr>
        <w:t xml:space="preserve">Kent </w:t>
      </w:r>
      <w:r w:rsidR="004D5A1A" w:rsidRPr="00C0092D">
        <w:rPr>
          <w:rFonts w:ascii="Overpass" w:hAnsi="Overpass" w:cs="Arial"/>
          <w:sz w:val="24"/>
          <w:szCs w:val="24"/>
        </w:rPr>
        <w:t xml:space="preserve">also </w:t>
      </w:r>
      <w:r w:rsidR="00774838" w:rsidRPr="00C0092D">
        <w:rPr>
          <w:rFonts w:ascii="Overpass" w:hAnsi="Overpass" w:cs="Arial"/>
          <w:sz w:val="24"/>
          <w:szCs w:val="24"/>
        </w:rPr>
        <w:t xml:space="preserve">awards </w:t>
      </w:r>
      <w:r w:rsidR="007B0C0E" w:rsidRPr="00C0092D">
        <w:rPr>
          <w:rFonts w:ascii="Overpass" w:hAnsi="Overpass" w:cs="Arial"/>
          <w:sz w:val="24"/>
          <w:szCs w:val="24"/>
        </w:rPr>
        <w:t xml:space="preserve">a higher rate </w:t>
      </w:r>
      <w:r w:rsidR="00774838" w:rsidRPr="00C0092D">
        <w:rPr>
          <w:rFonts w:ascii="Overpass" w:hAnsi="Overpass" w:cs="Arial"/>
          <w:sz w:val="24"/>
          <w:szCs w:val="24"/>
        </w:rPr>
        <w:t xml:space="preserve">of good degrees </w:t>
      </w:r>
      <w:r w:rsidR="007B0C0E" w:rsidRPr="00C0092D">
        <w:rPr>
          <w:rFonts w:ascii="Overpass" w:hAnsi="Overpass" w:cs="Arial"/>
          <w:sz w:val="24"/>
          <w:szCs w:val="24"/>
        </w:rPr>
        <w:t>when compared to the national sector average of 79%.</w:t>
      </w:r>
      <w:r w:rsidR="004D5A1A" w:rsidRPr="00C0092D">
        <w:rPr>
          <w:rFonts w:ascii="Overpass" w:hAnsi="Overpass" w:cs="Arial"/>
          <w:sz w:val="24"/>
          <w:szCs w:val="24"/>
        </w:rPr>
        <w:t xml:space="preserve"> In addition, </w:t>
      </w:r>
      <w:r w:rsidR="00697E7E" w:rsidRPr="00C0092D">
        <w:rPr>
          <w:rFonts w:ascii="Overpass" w:hAnsi="Overpass" w:cs="Arial"/>
          <w:sz w:val="24"/>
          <w:szCs w:val="24"/>
        </w:rPr>
        <w:t>this difference of</w:t>
      </w:r>
      <w:r w:rsidR="00747D33" w:rsidRPr="00C0092D">
        <w:rPr>
          <w:rFonts w:ascii="Overpass" w:hAnsi="Overpass" w:cs="Arial"/>
          <w:sz w:val="24"/>
          <w:szCs w:val="24"/>
        </w:rPr>
        <w:t xml:space="preserve"> 1st/2(I) awards </w:t>
      </w:r>
      <w:r w:rsidR="00E30014" w:rsidRPr="00C0092D">
        <w:rPr>
          <w:rFonts w:ascii="Overpass" w:hAnsi="Overpass" w:cs="Arial"/>
          <w:sz w:val="24"/>
          <w:szCs w:val="24"/>
        </w:rPr>
        <w:t>is continuously increasing.</w:t>
      </w:r>
    </w:p>
    <w:p w14:paraId="622A2181" w14:textId="5C31492E" w:rsidR="00B3158E" w:rsidRPr="00C0092D" w:rsidRDefault="00242AB0">
      <w:pPr>
        <w:rPr>
          <w:rFonts w:ascii="Overpass" w:hAnsi="Overpass" w:cs="Arial"/>
          <w:sz w:val="24"/>
          <w:szCs w:val="24"/>
        </w:rPr>
      </w:pPr>
      <w:r w:rsidRPr="00C0092D">
        <w:rPr>
          <w:rFonts w:ascii="Overpass" w:hAnsi="Overpass" w:cs="Arial"/>
          <w:sz w:val="24"/>
          <w:szCs w:val="24"/>
        </w:rPr>
        <w:t>Three</w:t>
      </w:r>
      <w:r w:rsidR="00871D59" w:rsidRPr="00C0092D">
        <w:rPr>
          <w:rFonts w:ascii="Overpass" w:hAnsi="Overpass" w:cs="Arial"/>
          <w:sz w:val="24"/>
          <w:szCs w:val="24"/>
        </w:rPr>
        <w:t xml:space="preserve"> </w:t>
      </w:r>
      <w:r w:rsidR="00B3158E" w:rsidRPr="00C0092D">
        <w:rPr>
          <w:rFonts w:ascii="Overpass" w:hAnsi="Overpass" w:cs="Arial"/>
          <w:sz w:val="24"/>
          <w:szCs w:val="24"/>
        </w:rPr>
        <w:t xml:space="preserve">lines of continued investigation </w:t>
      </w:r>
      <w:r w:rsidR="00611100" w:rsidRPr="00C0092D">
        <w:rPr>
          <w:rFonts w:ascii="Overpass" w:hAnsi="Overpass" w:cs="Arial"/>
          <w:sz w:val="24"/>
          <w:szCs w:val="24"/>
        </w:rPr>
        <w:t xml:space="preserve">and action </w:t>
      </w:r>
      <w:r w:rsidR="00B3158E" w:rsidRPr="00C0092D">
        <w:rPr>
          <w:rFonts w:ascii="Overpass" w:hAnsi="Overpass" w:cs="Arial"/>
          <w:sz w:val="24"/>
          <w:szCs w:val="24"/>
        </w:rPr>
        <w:t>are recommended, however:</w:t>
      </w:r>
    </w:p>
    <w:p w14:paraId="400A3DEF" w14:textId="339AF01B" w:rsidR="00664EAB" w:rsidRPr="00C0092D" w:rsidRDefault="000A4FF5" w:rsidP="00611100">
      <w:pPr>
        <w:pStyle w:val="ListParagraph"/>
        <w:numPr>
          <w:ilvl w:val="0"/>
          <w:numId w:val="1"/>
        </w:numPr>
        <w:rPr>
          <w:rFonts w:ascii="Overpass" w:hAnsi="Overpass" w:cs="Arial"/>
          <w:sz w:val="24"/>
          <w:szCs w:val="24"/>
        </w:rPr>
      </w:pPr>
      <w:r>
        <w:rPr>
          <w:rFonts w:ascii="Overpass" w:hAnsi="Overpass" w:cs="Arial"/>
          <w:sz w:val="24"/>
          <w:szCs w:val="24"/>
        </w:rPr>
        <w:lastRenderedPageBreak/>
        <w:t xml:space="preserve">Consider what FURTHER STEPS </w:t>
      </w:r>
      <w:r w:rsidR="00353F4C">
        <w:rPr>
          <w:rFonts w:ascii="Overpass" w:hAnsi="Overpass" w:cs="Arial"/>
          <w:sz w:val="24"/>
          <w:szCs w:val="24"/>
        </w:rPr>
        <w:t xml:space="preserve">are necessary </w:t>
      </w:r>
      <w:proofErr w:type="gramStart"/>
      <w:r w:rsidR="00353F4C">
        <w:rPr>
          <w:rFonts w:ascii="Overpass" w:hAnsi="Overpass" w:cs="Arial"/>
          <w:sz w:val="24"/>
          <w:szCs w:val="24"/>
        </w:rPr>
        <w:t>in order to</w:t>
      </w:r>
      <w:proofErr w:type="gramEnd"/>
      <w:r w:rsidR="00353F4C">
        <w:rPr>
          <w:rFonts w:ascii="Overpass" w:hAnsi="Overpass" w:cs="Arial"/>
          <w:sz w:val="24"/>
          <w:szCs w:val="24"/>
        </w:rPr>
        <w:t xml:space="preserve"> meet the</w:t>
      </w:r>
      <w:r w:rsidRPr="00C0092D">
        <w:rPr>
          <w:rFonts w:ascii="Overpass" w:hAnsi="Overpass" w:cs="Arial"/>
          <w:sz w:val="24"/>
          <w:szCs w:val="24"/>
        </w:rPr>
        <w:t xml:space="preserve"> </w:t>
      </w:r>
      <w:r w:rsidR="00353F4C" w:rsidRPr="00C0092D">
        <w:rPr>
          <w:rFonts w:ascii="Overpass" w:hAnsi="Overpass" w:cs="Arial"/>
          <w:sz w:val="24"/>
          <w:szCs w:val="24"/>
        </w:rPr>
        <w:t xml:space="preserve">Universities UK </w:t>
      </w:r>
      <w:r w:rsidR="00353F4C">
        <w:rPr>
          <w:rFonts w:ascii="Overpass" w:hAnsi="Overpass" w:cs="Arial"/>
          <w:sz w:val="24"/>
          <w:szCs w:val="24"/>
        </w:rPr>
        <w:t>commitment</w:t>
      </w:r>
      <w:r w:rsidR="00353F4C" w:rsidRPr="00C0092D">
        <w:rPr>
          <w:rFonts w:ascii="Overpass" w:hAnsi="Overpass" w:cs="Arial"/>
          <w:sz w:val="24"/>
          <w:szCs w:val="24"/>
        </w:rPr>
        <w:t xml:space="preserve"> </w:t>
      </w:r>
      <w:r w:rsidR="00353F4C">
        <w:rPr>
          <w:rFonts w:ascii="Overpass" w:hAnsi="Overpass" w:cs="Arial"/>
          <w:sz w:val="24"/>
          <w:szCs w:val="24"/>
        </w:rPr>
        <w:t>for universities i</w:t>
      </w:r>
      <w:r w:rsidRPr="00C0092D">
        <w:rPr>
          <w:rFonts w:ascii="Overpass" w:hAnsi="Overpass" w:cs="Arial"/>
          <w:sz w:val="24"/>
          <w:szCs w:val="24"/>
        </w:rPr>
        <w:t>n England to return to pre-pandemic classification levels for the award of undergraduate honours degrees.</w:t>
      </w:r>
      <w:r>
        <w:rPr>
          <w:rFonts w:ascii="Overpass" w:hAnsi="Overpass" w:cs="Arial"/>
          <w:sz w:val="24"/>
          <w:szCs w:val="24"/>
        </w:rPr>
        <w:t xml:space="preserve"> </w:t>
      </w:r>
    </w:p>
    <w:p w14:paraId="00F10185" w14:textId="5DEAF3EA" w:rsidR="00611100" w:rsidRPr="00C0092D" w:rsidRDefault="00611100" w:rsidP="00611100">
      <w:pPr>
        <w:pStyle w:val="ListParagraph"/>
        <w:numPr>
          <w:ilvl w:val="0"/>
          <w:numId w:val="1"/>
        </w:numPr>
        <w:rPr>
          <w:rFonts w:ascii="Overpass" w:hAnsi="Overpass" w:cs="Arial"/>
          <w:sz w:val="24"/>
          <w:szCs w:val="24"/>
        </w:rPr>
      </w:pPr>
      <w:r w:rsidRPr="00C0092D">
        <w:rPr>
          <w:rFonts w:ascii="Overpass" w:hAnsi="Overpass" w:cs="Arial"/>
          <w:sz w:val="24"/>
          <w:szCs w:val="24"/>
        </w:rPr>
        <w:t>The sizeable attainment gap between White and BAME students</w:t>
      </w:r>
      <w:r w:rsidR="00B36B71" w:rsidRPr="00C0092D">
        <w:rPr>
          <w:rFonts w:ascii="Overpass" w:hAnsi="Overpass" w:cs="Arial"/>
          <w:sz w:val="24"/>
          <w:szCs w:val="24"/>
        </w:rPr>
        <w:t>.</w:t>
      </w:r>
      <w:r w:rsidRPr="00C0092D">
        <w:rPr>
          <w:rFonts w:ascii="Overpass" w:hAnsi="Overpass" w:cs="Arial"/>
          <w:sz w:val="24"/>
          <w:szCs w:val="24"/>
        </w:rPr>
        <w:t xml:space="preserve"> </w:t>
      </w:r>
    </w:p>
    <w:p w14:paraId="0F7697E9" w14:textId="13DA3F09" w:rsidR="002C121A" w:rsidRPr="00C0092D" w:rsidRDefault="00611100" w:rsidP="00F2505E">
      <w:pPr>
        <w:pStyle w:val="ListParagraph"/>
        <w:numPr>
          <w:ilvl w:val="0"/>
          <w:numId w:val="1"/>
        </w:numPr>
        <w:rPr>
          <w:rFonts w:ascii="Overpass" w:hAnsi="Overpass" w:cs="Arial"/>
          <w:sz w:val="24"/>
          <w:szCs w:val="24"/>
        </w:rPr>
      </w:pPr>
      <w:r w:rsidRPr="00C0092D">
        <w:rPr>
          <w:rFonts w:ascii="Overpass" w:hAnsi="Overpass" w:cs="Arial"/>
          <w:sz w:val="24"/>
          <w:szCs w:val="24"/>
        </w:rPr>
        <w:t>The sizeable difference between 1st/2(1) rates between students from the most deprived localities and those from the least deprived areas.</w:t>
      </w:r>
      <w:r w:rsidR="002C121A" w:rsidRPr="00C0092D">
        <w:rPr>
          <w:rFonts w:ascii="Overpass" w:hAnsi="Overpass" w:cs="Arial"/>
          <w:sz w:val="24"/>
          <w:szCs w:val="24"/>
        </w:rPr>
        <w:t xml:space="preserve"> </w:t>
      </w:r>
    </w:p>
    <w:p w14:paraId="56DA84F0" w14:textId="77777777" w:rsidR="00FB523B" w:rsidRPr="002C5BCE" w:rsidRDefault="00FB523B" w:rsidP="00FB523B">
      <w:pPr>
        <w:pStyle w:val="ListParagraph"/>
        <w:rPr>
          <w:rFonts w:ascii="Overpass" w:hAnsi="Overpass" w:cs="Arial"/>
        </w:rPr>
      </w:pPr>
    </w:p>
    <w:p w14:paraId="1E3C5396" w14:textId="24B539E5" w:rsidR="00611100" w:rsidRPr="00A95014" w:rsidRDefault="00611100" w:rsidP="002C121A">
      <w:pPr>
        <w:ind w:left="360" w:firstLine="360"/>
        <w:rPr>
          <w:rFonts w:ascii="Overpass" w:hAnsi="Overpass" w:cs="Arial"/>
        </w:rPr>
      </w:pPr>
      <w:r w:rsidRPr="00A95014">
        <w:rPr>
          <w:rFonts w:ascii="Overpass" w:hAnsi="Overpass" w:cs="Arial"/>
          <w:b/>
          <w:bCs/>
        </w:rPr>
        <w:t xml:space="preserve">Action </w:t>
      </w:r>
      <w:r w:rsidR="00242AB0" w:rsidRPr="00A95014">
        <w:rPr>
          <w:rFonts w:ascii="Overpass" w:hAnsi="Overpass" w:cs="Arial"/>
          <w:b/>
          <w:bCs/>
        </w:rPr>
        <w:t>1</w:t>
      </w:r>
      <w:r w:rsidRPr="00A95014">
        <w:rPr>
          <w:rFonts w:ascii="Overpass" w:hAnsi="Overpass" w:cs="Arial"/>
          <w:b/>
          <w:bCs/>
        </w:rPr>
        <w:t xml:space="preserve"> &amp;</w:t>
      </w:r>
      <w:r w:rsidR="00A95014" w:rsidRPr="00A95014">
        <w:rPr>
          <w:rFonts w:ascii="Overpass" w:hAnsi="Overpass" w:cs="Arial"/>
          <w:b/>
          <w:bCs/>
        </w:rPr>
        <w:t xml:space="preserve"> </w:t>
      </w:r>
      <w:proofErr w:type="gramStart"/>
      <w:r w:rsidR="00A95014" w:rsidRPr="00A95014">
        <w:rPr>
          <w:rFonts w:ascii="Overpass" w:hAnsi="Overpass" w:cs="Arial"/>
          <w:b/>
          <w:bCs/>
        </w:rPr>
        <w:t>2</w:t>
      </w:r>
      <w:r w:rsidRPr="00A95014">
        <w:rPr>
          <w:rFonts w:ascii="Overpass" w:hAnsi="Overpass" w:cs="Arial"/>
          <w:b/>
          <w:bCs/>
        </w:rPr>
        <w:t xml:space="preserve"> :</w:t>
      </w:r>
      <w:proofErr w:type="gramEnd"/>
      <w:r w:rsidRPr="00A95014">
        <w:rPr>
          <w:rFonts w:ascii="Overpass" w:hAnsi="Overpass" w:cs="Arial"/>
        </w:rPr>
        <w:t xml:space="preserve"> ESEB, Student Success Project. </w:t>
      </w:r>
    </w:p>
    <w:p w14:paraId="72A03C65" w14:textId="70A049E0" w:rsidR="00611100" w:rsidRPr="002C5BCE" w:rsidRDefault="001553AE" w:rsidP="009C6A60">
      <w:pPr>
        <w:ind w:left="360" w:firstLine="360"/>
        <w:rPr>
          <w:rFonts w:ascii="Overpass" w:hAnsi="Overpass" w:cs="Arial"/>
        </w:rPr>
      </w:pPr>
      <w:r w:rsidRPr="00A95014">
        <w:rPr>
          <w:rFonts w:ascii="Overpass" w:hAnsi="Overpass" w:cs="Arial"/>
          <w:b/>
          <w:bCs/>
        </w:rPr>
        <w:t xml:space="preserve">Action </w:t>
      </w:r>
      <w:r w:rsidR="00242AB0" w:rsidRPr="00A95014">
        <w:rPr>
          <w:rFonts w:ascii="Overpass" w:hAnsi="Overpass" w:cs="Arial"/>
          <w:b/>
          <w:bCs/>
        </w:rPr>
        <w:t>3</w:t>
      </w:r>
      <w:r w:rsidRPr="00A95014">
        <w:rPr>
          <w:rFonts w:ascii="Overpass" w:hAnsi="Overpass" w:cs="Arial"/>
          <w:b/>
          <w:bCs/>
        </w:rPr>
        <w:t>:</w:t>
      </w:r>
      <w:r w:rsidRPr="00A95014">
        <w:rPr>
          <w:rFonts w:ascii="Overpass" w:hAnsi="Overpass" w:cs="Arial"/>
        </w:rPr>
        <w:t xml:space="preserve"> ESEB via EASC. </w:t>
      </w:r>
    </w:p>
    <w:p w14:paraId="3ED4ECAF" w14:textId="72D3297F" w:rsidR="00FB523B" w:rsidRPr="002C5BCE" w:rsidRDefault="00C2707E">
      <w:pPr>
        <w:rPr>
          <w:rFonts w:ascii="Overpass" w:hAnsi="Overpass" w:cs="Arial"/>
        </w:rPr>
      </w:pPr>
      <w:r w:rsidRPr="002C5BCE">
        <w:rPr>
          <w:rFonts w:ascii="Overpass" w:hAnsi="Overpass" w:cs="Arial"/>
        </w:rPr>
        <w:t>DN</w:t>
      </w:r>
      <w:r w:rsidR="0003121B" w:rsidRPr="002C5BCE">
        <w:rPr>
          <w:rFonts w:ascii="Overpass" w:hAnsi="Overpass" w:cs="Arial"/>
        </w:rPr>
        <w:t>/MD</w:t>
      </w:r>
      <w:r w:rsidRPr="002C5BCE">
        <w:rPr>
          <w:rFonts w:ascii="Overpass" w:hAnsi="Overpass" w:cs="Arial"/>
        </w:rPr>
        <w:t xml:space="preserve"> </w:t>
      </w:r>
      <w:r w:rsidR="00FB523B">
        <w:rPr>
          <w:rFonts w:ascii="Overpass" w:hAnsi="Overpass" w:cs="Arial"/>
        </w:rPr>
        <w:br/>
        <w:t>May 2023</w:t>
      </w:r>
    </w:p>
    <w:p w14:paraId="5CA323D3" w14:textId="61B32D27" w:rsidR="002C5BCE" w:rsidRDefault="002C5BCE" w:rsidP="009C6A60">
      <w:pPr>
        <w:rPr>
          <w:rFonts w:ascii="Overpass" w:hAnsi="Overpass" w:cs="Arial"/>
          <w:szCs w:val="24"/>
        </w:rPr>
      </w:pPr>
      <w:r>
        <w:rPr>
          <w:rFonts w:ascii="Overpass" w:hAnsi="Overpass" w:cs="Arial"/>
        </w:rPr>
        <w:br w:type="page"/>
      </w:r>
    </w:p>
    <w:p w14:paraId="5F46CCB7" w14:textId="77777777" w:rsidR="00F56B56" w:rsidRDefault="00F56B56" w:rsidP="002C5BCE">
      <w:pPr>
        <w:pStyle w:val="Heading1"/>
        <w:rPr>
          <w:rFonts w:ascii="Overpass" w:hAnsi="Overpass"/>
          <w:b/>
          <w:bCs/>
          <w:color w:val="auto"/>
          <w:sz w:val="24"/>
          <w:szCs w:val="24"/>
        </w:rPr>
        <w:sectPr w:rsidR="00F56B56" w:rsidSect="00BD7805">
          <w:headerReference w:type="default" r:id="rId24"/>
          <w:footerReference w:type="default" r:id="rId25"/>
          <w:pgSz w:w="11906" w:h="16838"/>
          <w:pgMar w:top="720" w:right="720" w:bottom="720" w:left="720" w:header="708" w:footer="708" w:gutter="0"/>
          <w:cols w:space="708"/>
          <w:docGrid w:linePitch="360"/>
        </w:sectPr>
      </w:pPr>
    </w:p>
    <w:p w14:paraId="7AEF7966" w14:textId="486F2379" w:rsidR="009F77B2" w:rsidRDefault="009F77B2" w:rsidP="002C5BCE">
      <w:pPr>
        <w:pStyle w:val="Heading1"/>
        <w:rPr>
          <w:rFonts w:ascii="Overpass" w:hAnsi="Overpass"/>
          <w:b/>
          <w:bCs/>
          <w:color w:val="auto"/>
          <w:sz w:val="24"/>
          <w:szCs w:val="24"/>
        </w:rPr>
      </w:pPr>
      <w:bookmarkStart w:id="8" w:name="_Toc134092956"/>
      <w:r w:rsidRPr="002C5BCE">
        <w:rPr>
          <w:rFonts w:ascii="Overpass" w:hAnsi="Overpass"/>
          <w:b/>
          <w:bCs/>
          <w:color w:val="auto"/>
          <w:sz w:val="24"/>
          <w:szCs w:val="24"/>
        </w:rPr>
        <w:lastRenderedPageBreak/>
        <w:t>Appendix A</w:t>
      </w:r>
      <w:bookmarkEnd w:id="8"/>
    </w:p>
    <w:p w14:paraId="38EF54B1" w14:textId="77777777" w:rsidR="00514849" w:rsidRPr="00514849" w:rsidRDefault="00514849" w:rsidP="00514849"/>
    <w:p w14:paraId="07744344" w14:textId="77777777" w:rsidR="00F65B99" w:rsidRPr="00776F6B" w:rsidRDefault="00F65B99" w:rsidP="00F65B99">
      <w:pPr>
        <w:rPr>
          <w:rFonts w:ascii="Overpass" w:hAnsi="Overpass" w:cs="Arial"/>
          <w:sz w:val="24"/>
          <w:szCs w:val="24"/>
        </w:rPr>
      </w:pPr>
      <w:r w:rsidRPr="00F65B99">
        <w:rPr>
          <w:rFonts w:ascii="Overpass" w:hAnsi="Overpass" w:cs="Arial"/>
          <w:b/>
          <w:bCs/>
          <w:sz w:val="24"/>
          <w:szCs w:val="24"/>
        </w:rPr>
        <w:t>Table 1</w:t>
      </w:r>
      <w:r w:rsidRPr="00776F6B">
        <w:rPr>
          <w:rFonts w:ascii="Overpass" w:hAnsi="Overpass" w:cs="Arial"/>
          <w:sz w:val="24"/>
          <w:szCs w:val="24"/>
        </w:rPr>
        <w:t xml:space="preserve"> presents the distribution of degree classifications across the five-year period, showing evidence of </w:t>
      </w:r>
      <w:r>
        <w:rPr>
          <w:rFonts w:ascii="Overpass" w:hAnsi="Overpass" w:cs="Arial"/>
          <w:sz w:val="24"/>
          <w:szCs w:val="24"/>
        </w:rPr>
        <w:t xml:space="preserve">a sustained increase in </w:t>
      </w:r>
      <w:r w:rsidRPr="00776F6B">
        <w:rPr>
          <w:rFonts w:ascii="Overpass" w:hAnsi="Overpass" w:cs="Arial"/>
          <w:sz w:val="24"/>
          <w:szCs w:val="24"/>
        </w:rPr>
        <w:t>the percentage of 1st / 2(1) award</w:t>
      </w:r>
      <w:r>
        <w:rPr>
          <w:rFonts w:ascii="Overpass" w:hAnsi="Overpass" w:cs="Arial"/>
          <w:sz w:val="24"/>
          <w:szCs w:val="24"/>
        </w:rPr>
        <w:t xml:space="preserve">ed from 2019/20. </w:t>
      </w:r>
      <w:r w:rsidRPr="00776F6B">
        <w:rPr>
          <w:rFonts w:ascii="Overpass" w:hAnsi="Overpass" w:cs="Arial"/>
          <w:sz w:val="24"/>
          <w:szCs w:val="24"/>
        </w:rPr>
        <w:t xml:space="preserve"> </w:t>
      </w:r>
      <w:r>
        <w:rPr>
          <w:rFonts w:ascii="Overpass" w:hAnsi="Overpass" w:cs="Arial"/>
          <w:sz w:val="24"/>
          <w:szCs w:val="24"/>
        </w:rPr>
        <w:t>These rates of higher award exceed</w:t>
      </w:r>
      <w:r w:rsidRPr="00776F6B">
        <w:rPr>
          <w:rFonts w:ascii="Overpass" w:hAnsi="Overpass" w:cs="Arial"/>
          <w:sz w:val="24"/>
          <w:szCs w:val="24"/>
        </w:rPr>
        <w:t xml:space="preserve"> the national sector average throughout </w:t>
      </w:r>
      <w:r>
        <w:rPr>
          <w:rFonts w:ascii="Overpass" w:hAnsi="Overpass" w:cs="Arial"/>
          <w:sz w:val="24"/>
          <w:szCs w:val="24"/>
        </w:rPr>
        <w:t>this period</w:t>
      </w:r>
      <w:r w:rsidRPr="00776F6B">
        <w:rPr>
          <w:rFonts w:ascii="Overpass" w:hAnsi="Overpass" w:cs="Arial"/>
          <w:sz w:val="24"/>
          <w:szCs w:val="24"/>
        </w:rPr>
        <w:t>.</w:t>
      </w:r>
    </w:p>
    <w:p w14:paraId="03EA62A2" w14:textId="57282E6E" w:rsidR="00514849" w:rsidRDefault="00514849" w:rsidP="00770B39">
      <w:pPr>
        <w:rPr>
          <w:rFonts w:ascii="Overpass" w:hAnsi="Overpass" w:cs="Arial"/>
        </w:rPr>
      </w:pPr>
      <w:r>
        <w:rPr>
          <w:rFonts w:ascii="Overpass" w:hAnsi="Overpass" w:cs="Arial"/>
          <w:bCs/>
        </w:rPr>
        <w:t>Since 2019/20, Kent has seen an increase in the proportion of good degrees awarded, which has coincided with the pandemic. In 2019/20, Kent has awarded 85% of 1</w:t>
      </w:r>
      <w:r w:rsidRPr="00A95CE5">
        <w:rPr>
          <w:rFonts w:ascii="Overpass" w:hAnsi="Overpass" w:cs="Arial"/>
          <w:bCs/>
        </w:rPr>
        <w:t>st</w:t>
      </w:r>
      <w:r>
        <w:rPr>
          <w:rFonts w:ascii="Overpass" w:hAnsi="Overpass" w:cs="Arial"/>
          <w:bCs/>
        </w:rPr>
        <w:t>/2(I) degrees and in 2020/21 awarded 87% of 1</w:t>
      </w:r>
      <w:r w:rsidRPr="00A95CE5">
        <w:rPr>
          <w:rFonts w:ascii="Overpass" w:hAnsi="Overpass" w:cs="Arial"/>
          <w:bCs/>
        </w:rPr>
        <w:t>st</w:t>
      </w:r>
      <w:r>
        <w:rPr>
          <w:rFonts w:ascii="Overpass" w:hAnsi="Overpass" w:cs="Arial"/>
          <w:bCs/>
        </w:rPr>
        <w:t>/2(I) degrees. Although the percentage of good degrees has reduced to 85% in 2021/22, it has not dropped to pre-pandemic rates. In addition, Kent continues to have a higher rate of awarding 1</w:t>
      </w:r>
      <w:r w:rsidRPr="00A95CE5">
        <w:rPr>
          <w:rFonts w:ascii="Overpass" w:hAnsi="Overpass" w:cs="Arial"/>
          <w:bCs/>
        </w:rPr>
        <w:t>st</w:t>
      </w:r>
      <w:r>
        <w:rPr>
          <w:rFonts w:ascii="Overpass" w:hAnsi="Overpass" w:cs="Arial"/>
          <w:bCs/>
        </w:rPr>
        <w:t xml:space="preserve">/2(I) degrees than </w:t>
      </w:r>
      <w:r w:rsidRPr="002C5BCE">
        <w:rPr>
          <w:rFonts w:ascii="Overpass" w:hAnsi="Overpass" w:cs="Arial"/>
        </w:rPr>
        <w:t>the national sector average</w:t>
      </w:r>
      <w:r>
        <w:rPr>
          <w:rFonts w:ascii="Overpass" w:hAnsi="Overpass" w:cs="Arial"/>
        </w:rPr>
        <w:t xml:space="preserve"> (85% vs 79%).</w:t>
      </w:r>
    </w:p>
    <w:p w14:paraId="54DAA421" w14:textId="5C0FBBA2" w:rsidR="00770B39" w:rsidRDefault="00514849" w:rsidP="00331C98">
      <w:pPr>
        <w:rPr>
          <w:rFonts w:ascii="Overpass" w:hAnsi="Overpass" w:cs="Arial"/>
        </w:rPr>
      </w:pPr>
      <w:r w:rsidRPr="00514849">
        <w:rPr>
          <w:noProof/>
        </w:rPr>
        <w:drawing>
          <wp:inline distT="0" distB="0" distL="0" distR="0" wp14:anchorId="5C1E1643" wp14:editId="7059AFEC">
            <wp:extent cx="9777730" cy="1861185"/>
            <wp:effectExtent l="0" t="0" r="0" b="5715"/>
            <wp:docPr id="19256702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77730" cy="1861185"/>
                    </a:xfrm>
                    <a:prstGeom prst="rect">
                      <a:avLst/>
                    </a:prstGeom>
                    <a:noFill/>
                    <a:ln>
                      <a:noFill/>
                    </a:ln>
                  </pic:spPr>
                </pic:pic>
              </a:graphicData>
            </a:graphic>
          </wp:inline>
        </w:drawing>
      </w:r>
    </w:p>
    <w:p w14:paraId="3B5EE94E" w14:textId="77777777" w:rsidR="00F56B56" w:rsidRDefault="00F56B56" w:rsidP="009F77B2">
      <w:pPr>
        <w:rPr>
          <w:rFonts w:ascii="Overpass" w:hAnsi="Overpass" w:cs="Arial"/>
          <w:b/>
          <w:bCs/>
        </w:rPr>
      </w:pPr>
    </w:p>
    <w:p w14:paraId="1D62AA44" w14:textId="77777777" w:rsidR="00F56B56" w:rsidRDefault="00F56B56" w:rsidP="009F77B2">
      <w:pPr>
        <w:rPr>
          <w:rFonts w:ascii="Overpass" w:hAnsi="Overpass" w:cs="Arial"/>
          <w:b/>
          <w:bCs/>
        </w:rPr>
      </w:pPr>
    </w:p>
    <w:p w14:paraId="201B025D" w14:textId="43292AFB" w:rsidR="00C95C7A" w:rsidRPr="002C5BCE" w:rsidRDefault="00B153D2" w:rsidP="009F77B2">
      <w:pPr>
        <w:rPr>
          <w:rFonts w:ascii="Overpass" w:hAnsi="Overpass" w:cs="Arial"/>
        </w:rPr>
      </w:pPr>
      <w:r w:rsidRPr="006D2286">
        <w:rPr>
          <w:rFonts w:ascii="Overpass" w:hAnsi="Overpass" w:cs="Arial"/>
          <w:b/>
          <w:bCs/>
        </w:rPr>
        <w:lastRenderedPageBreak/>
        <w:t>Tables 2 an</w:t>
      </w:r>
      <w:r w:rsidR="006D2286" w:rsidRPr="006D2286">
        <w:rPr>
          <w:rFonts w:ascii="Overpass" w:hAnsi="Overpass" w:cs="Arial"/>
          <w:b/>
          <w:bCs/>
        </w:rPr>
        <w:t>d</w:t>
      </w:r>
      <w:r w:rsidRPr="006D2286">
        <w:rPr>
          <w:rFonts w:ascii="Overpass" w:hAnsi="Overpass" w:cs="Arial"/>
          <w:b/>
          <w:bCs/>
        </w:rPr>
        <w:t xml:space="preserve"> 3</w:t>
      </w:r>
      <w:r>
        <w:rPr>
          <w:rFonts w:ascii="Overpass" w:hAnsi="Overpass" w:cs="Arial"/>
        </w:rPr>
        <w:t xml:space="preserve"> present the o</w:t>
      </w:r>
      <w:r w:rsidR="00C95C7A" w:rsidRPr="002C5BCE">
        <w:rPr>
          <w:rFonts w:ascii="Overpass" w:hAnsi="Overpass" w:cs="Arial"/>
        </w:rPr>
        <w:t xml:space="preserve">verall levels of achievement </w:t>
      </w:r>
      <w:r w:rsidR="0093573A">
        <w:rPr>
          <w:rFonts w:ascii="Overpass" w:hAnsi="Overpass" w:cs="Arial"/>
        </w:rPr>
        <w:t xml:space="preserve">across Kent and validated institutions. </w:t>
      </w:r>
      <w:r w:rsidR="006D2286">
        <w:rPr>
          <w:rFonts w:ascii="Overpass" w:hAnsi="Overpass" w:cs="Arial"/>
        </w:rPr>
        <w:t>The</w:t>
      </w:r>
      <w:r w:rsidR="00C95C7A" w:rsidRPr="002C5BCE">
        <w:rPr>
          <w:rFonts w:ascii="Overpass" w:hAnsi="Overpass" w:cs="Arial"/>
        </w:rPr>
        <w:t xml:space="preserve"> highest </w:t>
      </w:r>
      <w:r w:rsidR="006D2286">
        <w:rPr>
          <w:rFonts w:ascii="Overpass" w:hAnsi="Overpass" w:cs="Arial"/>
        </w:rPr>
        <w:t xml:space="preserve">levels of achievement are seen </w:t>
      </w:r>
      <w:r w:rsidR="00C95C7A" w:rsidRPr="002C5BCE">
        <w:rPr>
          <w:rFonts w:ascii="Overpass" w:hAnsi="Overpass" w:cs="Arial"/>
        </w:rPr>
        <w:t>amongst validated institutions</w:t>
      </w:r>
      <w:r w:rsidR="006D2286">
        <w:rPr>
          <w:rFonts w:ascii="Overpass" w:hAnsi="Overpass" w:cs="Arial"/>
        </w:rPr>
        <w:t xml:space="preserve">, </w:t>
      </w:r>
      <w:r w:rsidR="00C95C7A" w:rsidRPr="002C5BCE">
        <w:rPr>
          <w:rFonts w:ascii="Overpass" w:hAnsi="Overpass" w:cs="Arial"/>
        </w:rPr>
        <w:t>based on smaller populations studying towards highly specialised awards.</w:t>
      </w:r>
    </w:p>
    <w:p w14:paraId="1313B60A" w14:textId="1809CE4B" w:rsidR="009F77B2" w:rsidRPr="002C5BCE" w:rsidRDefault="000470A3" w:rsidP="009F77B2">
      <w:pPr>
        <w:rPr>
          <w:rFonts w:ascii="Overpass" w:hAnsi="Overpass" w:cs="Arial"/>
        </w:rPr>
      </w:pPr>
      <w:r w:rsidRPr="000470A3">
        <w:rPr>
          <w:noProof/>
        </w:rPr>
        <w:drawing>
          <wp:inline distT="0" distB="0" distL="0" distR="0" wp14:anchorId="50638679" wp14:editId="74039D72">
            <wp:extent cx="9777730" cy="2601595"/>
            <wp:effectExtent l="0" t="0" r="0" b="8255"/>
            <wp:docPr id="6423191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77730" cy="2601595"/>
                    </a:xfrm>
                    <a:prstGeom prst="rect">
                      <a:avLst/>
                    </a:prstGeom>
                    <a:noFill/>
                    <a:ln>
                      <a:noFill/>
                    </a:ln>
                  </pic:spPr>
                </pic:pic>
              </a:graphicData>
            </a:graphic>
          </wp:inline>
        </w:drawing>
      </w:r>
    </w:p>
    <w:p w14:paraId="763B4BDC" w14:textId="229C4C79" w:rsidR="009F77B2" w:rsidRDefault="000470A3" w:rsidP="009F77B2">
      <w:pPr>
        <w:rPr>
          <w:rFonts w:ascii="Overpass" w:hAnsi="Overpass" w:cs="Arial"/>
          <w:noProof/>
        </w:rPr>
      </w:pPr>
      <w:r w:rsidRPr="000470A3">
        <w:rPr>
          <w:noProof/>
        </w:rPr>
        <w:drawing>
          <wp:inline distT="0" distB="0" distL="0" distR="0" wp14:anchorId="48F48BD2" wp14:editId="237A660B">
            <wp:extent cx="9777730" cy="935355"/>
            <wp:effectExtent l="0" t="0" r="0" b="0"/>
            <wp:docPr id="7674474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77730" cy="935355"/>
                    </a:xfrm>
                    <a:prstGeom prst="rect">
                      <a:avLst/>
                    </a:prstGeom>
                    <a:noFill/>
                    <a:ln>
                      <a:noFill/>
                    </a:ln>
                  </pic:spPr>
                </pic:pic>
              </a:graphicData>
            </a:graphic>
          </wp:inline>
        </w:drawing>
      </w:r>
    </w:p>
    <w:p w14:paraId="38B3877D" w14:textId="77777777" w:rsidR="00514849" w:rsidRDefault="00514849" w:rsidP="009F77B2">
      <w:pPr>
        <w:rPr>
          <w:rFonts w:ascii="Overpass" w:hAnsi="Overpass" w:cs="Arial"/>
          <w:noProof/>
        </w:rPr>
      </w:pPr>
    </w:p>
    <w:p w14:paraId="460632C0" w14:textId="77777777" w:rsidR="00514849" w:rsidRDefault="00514849" w:rsidP="009F77B2">
      <w:pPr>
        <w:rPr>
          <w:rFonts w:ascii="Overpass" w:hAnsi="Overpass" w:cs="Arial"/>
          <w:noProof/>
        </w:rPr>
      </w:pPr>
    </w:p>
    <w:p w14:paraId="021C5D9C" w14:textId="3A4CA523" w:rsidR="00514849" w:rsidRPr="002C5BCE" w:rsidRDefault="004C3828" w:rsidP="009F77B2">
      <w:pPr>
        <w:rPr>
          <w:rFonts w:ascii="Overpass" w:hAnsi="Overpass" w:cs="Arial"/>
        </w:rPr>
      </w:pPr>
      <w:r w:rsidRPr="00855E63">
        <w:rPr>
          <w:rFonts w:ascii="Overpass" w:hAnsi="Overpass" w:cs="Arial"/>
          <w:b/>
          <w:bCs/>
        </w:rPr>
        <w:lastRenderedPageBreak/>
        <w:t>Table 4</w:t>
      </w:r>
      <w:r>
        <w:rPr>
          <w:rFonts w:ascii="Overpass" w:hAnsi="Overpass" w:cs="Arial"/>
        </w:rPr>
        <w:t xml:space="preserve"> present</w:t>
      </w:r>
      <w:r w:rsidR="00855E63">
        <w:rPr>
          <w:rFonts w:ascii="Overpass" w:hAnsi="Overpass" w:cs="Arial"/>
        </w:rPr>
        <w:t>s</w:t>
      </w:r>
      <w:r>
        <w:rPr>
          <w:rFonts w:ascii="Overpass" w:hAnsi="Overpass" w:cs="Arial"/>
        </w:rPr>
        <w:t xml:space="preserve"> data on achievement levels across</w:t>
      </w:r>
      <w:r w:rsidR="00FE4E05">
        <w:rPr>
          <w:rFonts w:ascii="Overpass" w:hAnsi="Overpass" w:cs="Arial"/>
        </w:rPr>
        <w:t xml:space="preserve"> the Divisions within Kent, where </w:t>
      </w:r>
      <w:r w:rsidR="00855E63">
        <w:rPr>
          <w:rFonts w:ascii="Overpass" w:hAnsi="Overpass" w:cs="Arial"/>
        </w:rPr>
        <w:t xml:space="preserve">the lowest number of good degrees is awarded in the Division of Computing, Engineering and Mathematical Sciences (80%). </w:t>
      </w:r>
    </w:p>
    <w:p w14:paraId="5BDA39E5" w14:textId="36EC7395" w:rsidR="009F77B2" w:rsidRPr="002C5BCE" w:rsidRDefault="00B45CDE" w:rsidP="009F77B2">
      <w:pPr>
        <w:rPr>
          <w:rFonts w:ascii="Overpass" w:hAnsi="Overpass" w:cs="Arial"/>
        </w:rPr>
      </w:pPr>
      <w:r w:rsidRPr="00B45CDE">
        <w:rPr>
          <w:rFonts w:ascii="Overpass" w:hAnsi="Overpass" w:cs="Arial"/>
          <w:noProof/>
        </w:rPr>
        <w:drawing>
          <wp:inline distT="0" distB="0" distL="0" distR="0" wp14:anchorId="281ADF9D" wp14:editId="30D65101">
            <wp:extent cx="9777730" cy="2291080"/>
            <wp:effectExtent l="0" t="0" r="1270" b="0"/>
            <wp:docPr id="1518393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93471" name=""/>
                    <pic:cNvPicPr/>
                  </pic:nvPicPr>
                  <pic:blipFill>
                    <a:blip r:embed="rId29"/>
                    <a:stretch>
                      <a:fillRect/>
                    </a:stretch>
                  </pic:blipFill>
                  <pic:spPr>
                    <a:xfrm>
                      <a:off x="0" y="0"/>
                      <a:ext cx="9777730" cy="2291080"/>
                    </a:xfrm>
                    <a:prstGeom prst="rect">
                      <a:avLst/>
                    </a:prstGeom>
                  </pic:spPr>
                </pic:pic>
              </a:graphicData>
            </a:graphic>
          </wp:inline>
        </w:drawing>
      </w:r>
    </w:p>
    <w:p w14:paraId="3FE9C2F4" w14:textId="7C0D7F39" w:rsidR="009F77B2" w:rsidRDefault="009F77B2" w:rsidP="009F77B2">
      <w:pPr>
        <w:rPr>
          <w:rFonts w:ascii="Overpass" w:hAnsi="Overpass" w:cs="Arial"/>
          <w:noProof/>
        </w:rPr>
      </w:pPr>
    </w:p>
    <w:p w14:paraId="401D34F2" w14:textId="77777777" w:rsidR="000470A3" w:rsidRDefault="000470A3" w:rsidP="009F77B2">
      <w:pPr>
        <w:rPr>
          <w:rFonts w:ascii="Overpass" w:hAnsi="Overpass" w:cs="Arial"/>
          <w:noProof/>
        </w:rPr>
      </w:pPr>
    </w:p>
    <w:p w14:paraId="6A5923E8" w14:textId="77777777" w:rsidR="000470A3" w:rsidRDefault="000470A3" w:rsidP="009F77B2">
      <w:pPr>
        <w:rPr>
          <w:rFonts w:ascii="Overpass" w:hAnsi="Overpass" w:cs="Arial"/>
          <w:noProof/>
        </w:rPr>
      </w:pPr>
    </w:p>
    <w:p w14:paraId="7CDB476F" w14:textId="77777777" w:rsidR="000470A3" w:rsidRDefault="000470A3" w:rsidP="009F77B2">
      <w:pPr>
        <w:rPr>
          <w:rFonts w:ascii="Overpass" w:hAnsi="Overpass" w:cs="Arial"/>
        </w:rPr>
      </w:pPr>
    </w:p>
    <w:p w14:paraId="56B64E3B" w14:textId="77777777" w:rsidR="009E675D" w:rsidRDefault="009E675D" w:rsidP="009E675D">
      <w:pPr>
        <w:rPr>
          <w:rFonts w:ascii="Overpass" w:hAnsi="Overpass" w:cs="Arial"/>
        </w:rPr>
      </w:pPr>
    </w:p>
    <w:p w14:paraId="6585A103" w14:textId="77777777" w:rsidR="000470A3" w:rsidRDefault="000470A3" w:rsidP="009E675D">
      <w:pPr>
        <w:rPr>
          <w:rFonts w:ascii="Overpass" w:hAnsi="Overpass" w:cs="Arial"/>
        </w:rPr>
      </w:pPr>
    </w:p>
    <w:p w14:paraId="7300A707" w14:textId="3D2DF352" w:rsidR="006C7DA7" w:rsidRDefault="00855E63" w:rsidP="009E675D">
      <w:pPr>
        <w:rPr>
          <w:rFonts w:ascii="Overpass" w:hAnsi="Overpass" w:cs="Arial"/>
        </w:rPr>
      </w:pPr>
      <w:r w:rsidRPr="00C0021E">
        <w:rPr>
          <w:rFonts w:ascii="Overpass" w:hAnsi="Overpass" w:cs="Arial"/>
          <w:b/>
          <w:bCs/>
        </w:rPr>
        <w:lastRenderedPageBreak/>
        <w:t>Table 5</w:t>
      </w:r>
      <w:r>
        <w:rPr>
          <w:rFonts w:ascii="Overpass" w:hAnsi="Overpass" w:cs="Arial"/>
        </w:rPr>
        <w:t xml:space="preserve"> </w:t>
      </w:r>
      <w:r w:rsidR="00BD5669">
        <w:rPr>
          <w:rFonts w:ascii="Overpass" w:hAnsi="Overpass" w:cs="Arial"/>
        </w:rPr>
        <w:t xml:space="preserve">shows the </w:t>
      </w:r>
      <w:r w:rsidR="009E675D" w:rsidRPr="002C5BCE">
        <w:rPr>
          <w:rFonts w:ascii="Overpass" w:hAnsi="Overpass" w:cs="Arial"/>
        </w:rPr>
        <w:t xml:space="preserve">demographic splits in the </w:t>
      </w:r>
      <w:r w:rsidR="006C7DA7" w:rsidRPr="002C5BCE">
        <w:rPr>
          <w:rFonts w:ascii="Overpass" w:hAnsi="Overpass" w:cs="Arial"/>
        </w:rPr>
        <w:t xml:space="preserve">data, </w:t>
      </w:r>
      <w:r w:rsidR="00EA7DD2">
        <w:rPr>
          <w:rFonts w:ascii="Overpass" w:hAnsi="Overpass" w:cs="Arial"/>
        </w:rPr>
        <w:t xml:space="preserve">where </w:t>
      </w:r>
      <w:r w:rsidR="009E675D" w:rsidRPr="002C5BCE">
        <w:rPr>
          <w:rFonts w:ascii="Overpass" w:hAnsi="Overpass" w:cs="Arial"/>
        </w:rPr>
        <w:t xml:space="preserve">female students </w:t>
      </w:r>
      <w:r w:rsidR="006C7DA7">
        <w:rPr>
          <w:rFonts w:ascii="Overpass" w:hAnsi="Overpass" w:cs="Arial"/>
        </w:rPr>
        <w:t xml:space="preserve">are seen to </w:t>
      </w:r>
      <w:r w:rsidR="009E675D" w:rsidRPr="002C5BCE">
        <w:rPr>
          <w:rFonts w:ascii="Overpass" w:hAnsi="Overpass" w:cs="Arial"/>
        </w:rPr>
        <w:t xml:space="preserve">outperform their male counterparts, with </w:t>
      </w:r>
      <w:r w:rsidR="000470A3" w:rsidRPr="002C5BCE">
        <w:rPr>
          <w:rFonts w:ascii="Overpass" w:hAnsi="Overpass" w:cs="Arial"/>
        </w:rPr>
        <w:t>an</w:t>
      </w:r>
      <w:r w:rsidR="009E675D" w:rsidRPr="002C5BCE">
        <w:rPr>
          <w:rFonts w:ascii="Overpass" w:hAnsi="Overpass" w:cs="Arial"/>
        </w:rPr>
        <w:t xml:space="preserve"> </w:t>
      </w:r>
      <w:r w:rsidR="006C7DA7">
        <w:rPr>
          <w:rFonts w:ascii="Overpass" w:hAnsi="Overpass" w:cs="Arial"/>
        </w:rPr>
        <w:t>4</w:t>
      </w:r>
      <w:r w:rsidR="006C7DA7" w:rsidRPr="002C5BCE">
        <w:rPr>
          <w:rFonts w:ascii="Overpass" w:hAnsi="Overpass" w:cs="Arial"/>
        </w:rPr>
        <w:t>% percentage difference in 20</w:t>
      </w:r>
      <w:r w:rsidR="006C7DA7">
        <w:rPr>
          <w:rFonts w:ascii="Overpass" w:hAnsi="Overpass" w:cs="Arial"/>
        </w:rPr>
        <w:t>2</w:t>
      </w:r>
      <w:r w:rsidR="00C31170">
        <w:rPr>
          <w:rFonts w:ascii="Overpass" w:hAnsi="Overpass" w:cs="Arial"/>
        </w:rPr>
        <w:t>1</w:t>
      </w:r>
      <w:r w:rsidR="006C7DA7" w:rsidRPr="002C5BCE">
        <w:rPr>
          <w:rFonts w:ascii="Overpass" w:hAnsi="Overpass" w:cs="Arial"/>
        </w:rPr>
        <w:t>/2</w:t>
      </w:r>
      <w:r w:rsidR="00C31170">
        <w:rPr>
          <w:rFonts w:ascii="Overpass" w:hAnsi="Overpass" w:cs="Arial"/>
        </w:rPr>
        <w:t>2</w:t>
      </w:r>
      <w:r w:rsidR="006C7DA7" w:rsidRPr="002C5BCE">
        <w:rPr>
          <w:rFonts w:ascii="Overpass" w:hAnsi="Overpass" w:cs="Arial"/>
        </w:rPr>
        <w:t>.</w:t>
      </w:r>
      <w:r w:rsidR="00C31170">
        <w:rPr>
          <w:rFonts w:ascii="Overpass" w:hAnsi="Overpass" w:cs="Arial"/>
        </w:rPr>
        <w:t xml:space="preserve"> Thi</w:t>
      </w:r>
      <w:r w:rsidR="00C07042">
        <w:rPr>
          <w:rFonts w:ascii="Overpass" w:hAnsi="Overpass" w:cs="Arial"/>
        </w:rPr>
        <w:t xml:space="preserve">s is a reduction of </w:t>
      </w:r>
      <w:r w:rsidR="00C07042" w:rsidRPr="002C5BCE">
        <w:rPr>
          <w:rFonts w:ascii="Overpass" w:hAnsi="Overpass" w:cs="Arial"/>
        </w:rPr>
        <w:t xml:space="preserve">8% percentage difference </w:t>
      </w:r>
      <w:r w:rsidR="00C0021E">
        <w:rPr>
          <w:rFonts w:ascii="Overpass" w:hAnsi="Overpass" w:cs="Arial"/>
        </w:rPr>
        <w:t xml:space="preserve">seen in </w:t>
      </w:r>
      <w:r w:rsidR="00C07042" w:rsidRPr="002C5BCE">
        <w:rPr>
          <w:rFonts w:ascii="Overpass" w:hAnsi="Overpass" w:cs="Arial"/>
        </w:rPr>
        <w:t>2020/21</w:t>
      </w:r>
      <w:r w:rsidR="00C0021E">
        <w:rPr>
          <w:rFonts w:ascii="Overpass" w:hAnsi="Overpass" w:cs="Arial"/>
        </w:rPr>
        <w:t>.</w:t>
      </w:r>
    </w:p>
    <w:p w14:paraId="3DD77930" w14:textId="0E510B26" w:rsidR="000470A3" w:rsidRPr="002C5BCE" w:rsidRDefault="000470A3" w:rsidP="009E675D">
      <w:pPr>
        <w:rPr>
          <w:rFonts w:ascii="Overpass" w:hAnsi="Overpass" w:cs="Arial"/>
        </w:rPr>
      </w:pPr>
      <w:r w:rsidRPr="00B45CDE">
        <w:rPr>
          <w:rFonts w:ascii="Overpass" w:hAnsi="Overpass" w:cs="Arial"/>
          <w:noProof/>
        </w:rPr>
        <w:drawing>
          <wp:inline distT="0" distB="0" distL="0" distR="0" wp14:anchorId="562559B7" wp14:editId="0D8AF9FD">
            <wp:extent cx="9777730" cy="1076325"/>
            <wp:effectExtent l="0" t="0" r="0" b="9525"/>
            <wp:docPr id="1816152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52987" name=""/>
                    <pic:cNvPicPr/>
                  </pic:nvPicPr>
                  <pic:blipFill>
                    <a:blip r:embed="rId30"/>
                    <a:stretch>
                      <a:fillRect/>
                    </a:stretch>
                  </pic:blipFill>
                  <pic:spPr>
                    <a:xfrm>
                      <a:off x="0" y="0"/>
                      <a:ext cx="9777730" cy="1076325"/>
                    </a:xfrm>
                    <a:prstGeom prst="rect">
                      <a:avLst/>
                    </a:prstGeom>
                  </pic:spPr>
                </pic:pic>
              </a:graphicData>
            </a:graphic>
          </wp:inline>
        </w:drawing>
      </w:r>
    </w:p>
    <w:p w14:paraId="097C1428" w14:textId="35EFDCDA" w:rsidR="009E675D" w:rsidRPr="009E675D" w:rsidRDefault="00EA7DD2" w:rsidP="00C0021E">
      <w:pPr>
        <w:rPr>
          <w:rFonts w:ascii="Overpass" w:hAnsi="Overpass" w:cs="Arial"/>
        </w:rPr>
      </w:pPr>
      <w:r w:rsidRPr="00DF68B0">
        <w:rPr>
          <w:rFonts w:ascii="Overpass" w:hAnsi="Overpass" w:cs="Arial"/>
          <w:b/>
          <w:bCs/>
        </w:rPr>
        <w:t>Table 6</w:t>
      </w:r>
      <w:r>
        <w:rPr>
          <w:rFonts w:ascii="Overpass" w:hAnsi="Overpass" w:cs="Arial"/>
        </w:rPr>
        <w:t xml:space="preserve"> shows the </w:t>
      </w:r>
      <w:r w:rsidRPr="002C5BCE">
        <w:rPr>
          <w:rFonts w:ascii="Overpass" w:hAnsi="Overpass" w:cs="Arial"/>
        </w:rPr>
        <w:t>demographic splits in the data</w:t>
      </w:r>
      <w:r w:rsidR="003164DC">
        <w:rPr>
          <w:rFonts w:ascii="Overpass" w:hAnsi="Overpass" w:cs="Arial"/>
        </w:rPr>
        <w:t xml:space="preserve"> by age group</w:t>
      </w:r>
      <w:r w:rsidR="005239EE">
        <w:rPr>
          <w:rFonts w:ascii="Overpass" w:hAnsi="Overpass" w:cs="Arial"/>
        </w:rPr>
        <w:t xml:space="preserve">. </w:t>
      </w:r>
      <w:r w:rsidR="00414129">
        <w:rPr>
          <w:rFonts w:ascii="Overpass" w:hAnsi="Overpass" w:cs="Arial"/>
        </w:rPr>
        <w:t xml:space="preserve">Although the </w:t>
      </w:r>
      <w:r w:rsidR="00054A6F">
        <w:rPr>
          <w:rFonts w:ascii="Overpass" w:hAnsi="Overpass" w:cs="Arial"/>
        </w:rPr>
        <w:t xml:space="preserve">level of achievement of </w:t>
      </w:r>
      <w:r w:rsidR="00054A6F" w:rsidRPr="002C5BCE">
        <w:rPr>
          <w:rFonts w:ascii="Overpass" w:hAnsi="Overpass" w:cs="Arial"/>
        </w:rPr>
        <w:t>1st / 2(1) awards</w:t>
      </w:r>
      <w:r w:rsidR="00054A6F">
        <w:rPr>
          <w:rFonts w:ascii="Overpass" w:hAnsi="Overpass" w:cs="Arial"/>
        </w:rPr>
        <w:t xml:space="preserve"> </w:t>
      </w:r>
      <w:r w:rsidR="00733818">
        <w:rPr>
          <w:rFonts w:ascii="Overpass" w:hAnsi="Overpass" w:cs="Arial"/>
        </w:rPr>
        <w:t xml:space="preserve">is largely similar across all </w:t>
      </w:r>
      <w:r w:rsidR="00414129">
        <w:rPr>
          <w:rFonts w:ascii="Overpass" w:hAnsi="Overpass" w:cs="Arial"/>
        </w:rPr>
        <w:t>age group</w:t>
      </w:r>
      <w:r w:rsidR="00733818">
        <w:rPr>
          <w:rFonts w:ascii="Overpass" w:hAnsi="Overpass" w:cs="Arial"/>
        </w:rPr>
        <w:t>s, there is a significant increase of good degree award</w:t>
      </w:r>
      <w:r w:rsidR="00E05ACE">
        <w:rPr>
          <w:rFonts w:ascii="Overpass" w:hAnsi="Overpass" w:cs="Arial"/>
        </w:rPr>
        <w:t>s in the age group</w:t>
      </w:r>
      <w:r w:rsidR="00414129">
        <w:rPr>
          <w:rFonts w:ascii="Overpass" w:hAnsi="Overpass" w:cs="Arial"/>
        </w:rPr>
        <w:t xml:space="preserve"> of 36 years and older </w:t>
      </w:r>
      <w:r w:rsidR="00E05ACE">
        <w:rPr>
          <w:rFonts w:ascii="Overpass" w:hAnsi="Overpass" w:cs="Arial"/>
        </w:rPr>
        <w:t>in 2021/22 (88%)</w:t>
      </w:r>
      <w:r w:rsidR="00DF68B0">
        <w:rPr>
          <w:rFonts w:ascii="Overpass" w:hAnsi="Overpass" w:cs="Arial"/>
        </w:rPr>
        <w:t xml:space="preserve"> when compared to previous years.</w:t>
      </w:r>
    </w:p>
    <w:p w14:paraId="52E8507A" w14:textId="0F5C59D9" w:rsidR="00E60C81" w:rsidRPr="002C5BCE" w:rsidRDefault="00B45CDE" w:rsidP="009F77B2">
      <w:pPr>
        <w:rPr>
          <w:rFonts w:ascii="Overpass" w:hAnsi="Overpass" w:cs="Arial"/>
        </w:rPr>
      </w:pPr>
      <w:r w:rsidRPr="00B45CDE">
        <w:rPr>
          <w:rFonts w:ascii="Overpass" w:hAnsi="Overpass" w:cs="Arial"/>
          <w:noProof/>
        </w:rPr>
        <w:drawing>
          <wp:inline distT="0" distB="0" distL="0" distR="0" wp14:anchorId="34114212" wp14:editId="01E403EC">
            <wp:extent cx="9777730" cy="1423035"/>
            <wp:effectExtent l="0" t="0" r="1270" b="0"/>
            <wp:docPr id="530859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9565" name=""/>
                    <pic:cNvPicPr/>
                  </pic:nvPicPr>
                  <pic:blipFill>
                    <a:blip r:embed="rId31"/>
                    <a:stretch>
                      <a:fillRect/>
                    </a:stretch>
                  </pic:blipFill>
                  <pic:spPr>
                    <a:xfrm>
                      <a:off x="0" y="0"/>
                      <a:ext cx="9777730" cy="1423035"/>
                    </a:xfrm>
                    <a:prstGeom prst="rect">
                      <a:avLst/>
                    </a:prstGeom>
                  </pic:spPr>
                </pic:pic>
              </a:graphicData>
            </a:graphic>
          </wp:inline>
        </w:drawing>
      </w:r>
    </w:p>
    <w:p w14:paraId="13356493" w14:textId="77777777" w:rsidR="009E675D" w:rsidRPr="009E675D" w:rsidRDefault="009E675D" w:rsidP="009E675D">
      <w:pPr>
        <w:rPr>
          <w:rFonts w:ascii="Overpass" w:hAnsi="Overpass" w:cs="Arial"/>
        </w:rPr>
      </w:pPr>
    </w:p>
    <w:p w14:paraId="2A6694F8" w14:textId="23772FDB" w:rsidR="00F57BFC" w:rsidRPr="002C5BCE" w:rsidRDefault="00F57BFC" w:rsidP="009F77B2">
      <w:pPr>
        <w:rPr>
          <w:rFonts w:ascii="Overpass" w:hAnsi="Overpass" w:cs="Arial"/>
        </w:rPr>
      </w:pPr>
    </w:p>
    <w:p w14:paraId="0D8D8EBF" w14:textId="5D240558" w:rsidR="00DD68D4" w:rsidRPr="00C5485C" w:rsidRDefault="00DF68B0" w:rsidP="00DD68D4">
      <w:pPr>
        <w:rPr>
          <w:rFonts w:ascii="Overpass" w:hAnsi="Overpass" w:cs="Arial"/>
          <w:bCs/>
          <w:color w:val="FF0000"/>
        </w:rPr>
      </w:pPr>
      <w:r w:rsidRPr="00C0095E">
        <w:rPr>
          <w:rFonts w:ascii="Overpass" w:hAnsi="Overpass" w:cs="Arial"/>
          <w:b/>
          <w:bCs/>
        </w:rPr>
        <w:lastRenderedPageBreak/>
        <w:t>Table 7</w:t>
      </w:r>
      <w:r>
        <w:rPr>
          <w:rFonts w:ascii="Overpass" w:hAnsi="Overpass" w:cs="Arial"/>
        </w:rPr>
        <w:t xml:space="preserve"> </w:t>
      </w:r>
      <w:r w:rsidR="00A13612">
        <w:rPr>
          <w:rFonts w:ascii="Overpass" w:hAnsi="Overpass" w:cs="Arial"/>
        </w:rPr>
        <w:t xml:space="preserve">shows data on level of </w:t>
      </w:r>
      <w:r w:rsidR="001332F5">
        <w:rPr>
          <w:rFonts w:ascii="Overpass" w:hAnsi="Overpass" w:cs="Arial"/>
        </w:rPr>
        <w:t xml:space="preserve">student </w:t>
      </w:r>
      <w:r w:rsidR="00A13612">
        <w:rPr>
          <w:rFonts w:ascii="Overpass" w:hAnsi="Overpass" w:cs="Arial"/>
        </w:rPr>
        <w:t xml:space="preserve">achievement for White and BAME students. </w:t>
      </w:r>
      <w:r w:rsidR="00793A1D">
        <w:rPr>
          <w:rFonts w:ascii="Overpass" w:hAnsi="Overpass" w:cs="Arial"/>
        </w:rPr>
        <w:t xml:space="preserve">Kent has seen a </w:t>
      </w:r>
      <w:r w:rsidR="00F327CE">
        <w:rPr>
          <w:rFonts w:ascii="Overpass" w:hAnsi="Overpass" w:cs="Arial"/>
        </w:rPr>
        <w:t xml:space="preserve">dramatic </w:t>
      </w:r>
      <w:r w:rsidR="00793A1D">
        <w:rPr>
          <w:rFonts w:ascii="Overpass" w:hAnsi="Overpass" w:cs="Arial"/>
        </w:rPr>
        <w:t>drop in the attainment gap</w:t>
      </w:r>
      <w:r w:rsidR="00550667">
        <w:rPr>
          <w:rFonts w:ascii="Overpass" w:hAnsi="Overpass" w:cs="Arial"/>
        </w:rPr>
        <w:t xml:space="preserve"> of 12%</w:t>
      </w:r>
      <w:r w:rsidR="00F327CE">
        <w:rPr>
          <w:rFonts w:ascii="Overpass" w:hAnsi="Overpass" w:cs="Arial"/>
        </w:rPr>
        <w:t xml:space="preserve"> in 2019/20 </w:t>
      </w:r>
      <w:r w:rsidR="00550667">
        <w:rPr>
          <w:rFonts w:ascii="Overpass" w:hAnsi="Overpass" w:cs="Arial"/>
        </w:rPr>
        <w:t>and a further reduction to 10% in 20</w:t>
      </w:r>
      <w:r w:rsidR="00DB59BE">
        <w:rPr>
          <w:rFonts w:ascii="Overpass" w:hAnsi="Overpass" w:cs="Arial"/>
        </w:rPr>
        <w:t>20/21</w:t>
      </w:r>
      <w:r w:rsidR="00D236A5">
        <w:rPr>
          <w:rFonts w:ascii="Overpass" w:hAnsi="Overpass" w:cs="Arial"/>
        </w:rPr>
        <w:t>, which could be attributed to the Student Success Project.</w:t>
      </w:r>
      <w:r w:rsidR="00DB59BE">
        <w:rPr>
          <w:rFonts w:ascii="Overpass" w:hAnsi="Overpass" w:cs="Arial"/>
        </w:rPr>
        <w:t xml:space="preserve"> However, the attainment </w:t>
      </w:r>
      <w:r w:rsidR="00D236A5">
        <w:rPr>
          <w:rFonts w:ascii="Overpass" w:hAnsi="Overpass" w:cs="Arial"/>
        </w:rPr>
        <w:t>gap has increased to 15%</w:t>
      </w:r>
      <w:r w:rsidR="00C0095E">
        <w:rPr>
          <w:rFonts w:ascii="Overpass" w:hAnsi="Overpass" w:cs="Arial"/>
        </w:rPr>
        <w:t xml:space="preserve"> in 2021/22. </w:t>
      </w:r>
      <w:r w:rsidR="00DD68D4" w:rsidRPr="005C5198">
        <w:rPr>
          <w:rFonts w:ascii="Overpass" w:hAnsi="Overpass" w:cs="Arial"/>
        </w:rPr>
        <w:t xml:space="preserve">It is important that </w:t>
      </w:r>
      <w:r w:rsidR="00B21D0D" w:rsidRPr="005C5198">
        <w:rPr>
          <w:rFonts w:ascii="Overpass" w:hAnsi="Overpass" w:cs="Arial"/>
        </w:rPr>
        <w:t>in our attempts to</w:t>
      </w:r>
      <w:r w:rsidR="00DD68D4" w:rsidRPr="005C5198">
        <w:rPr>
          <w:rFonts w:ascii="Overpass" w:hAnsi="Overpass" w:cs="Arial"/>
        </w:rPr>
        <w:t xml:space="preserve"> reduce the higher provision of 1st and 2(1)’s, we do so while not losing </w:t>
      </w:r>
      <w:r w:rsidR="0015731D" w:rsidRPr="005C5198">
        <w:rPr>
          <w:rFonts w:ascii="Overpass" w:hAnsi="Overpass" w:cs="Arial"/>
        </w:rPr>
        <w:t>the</w:t>
      </w:r>
      <w:r w:rsidR="00DD68D4" w:rsidRPr="005C5198">
        <w:rPr>
          <w:rFonts w:ascii="Overpass" w:hAnsi="Overpass" w:cs="Arial"/>
        </w:rPr>
        <w:t xml:space="preserve"> beneficial equality work. </w:t>
      </w:r>
    </w:p>
    <w:p w14:paraId="2D0145E9" w14:textId="792CEC95" w:rsidR="00607369" w:rsidRDefault="00607369" w:rsidP="00607369">
      <w:pPr>
        <w:rPr>
          <w:rFonts w:ascii="Overpass" w:hAnsi="Overpass" w:cs="Arial"/>
        </w:rPr>
      </w:pPr>
      <w:r>
        <w:rPr>
          <w:rFonts w:ascii="Overpass" w:hAnsi="Overpass" w:cs="Arial"/>
        </w:rPr>
        <w:t>The data also shows that</w:t>
      </w:r>
      <w:r w:rsidRPr="009E675D">
        <w:rPr>
          <w:rFonts w:ascii="Overpass" w:hAnsi="Overpass" w:cs="Arial"/>
        </w:rPr>
        <w:t xml:space="preserve"> the Black/White awarding gap increased to 20% and the Asian/White gap increased to 10%</w:t>
      </w:r>
      <w:r w:rsidR="00A47CF9">
        <w:rPr>
          <w:rFonts w:ascii="Overpass" w:hAnsi="Overpass" w:cs="Arial"/>
        </w:rPr>
        <w:t xml:space="preserve"> in 2021/22</w:t>
      </w:r>
      <w:r w:rsidRPr="009E675D">
        <w:rPr>
          <w:rFonts w:ascii="Overpass" w:hAnsi="Overpass" w:cs="Arial"/>
        </w:rPr>
        <w:t xml:space="preserve">.  </w:t>
      </w:r>
      <w:proofErr w:type="spellStart"/>
      <w:r w:rsidRPr="009E675D">
        <w:rPr>
          <w:rFonts w:ascii="Overpass" w:hAnsi="Overpass" w:cs="Arial"/>
        </w:rPr>
        <w:t>Mixed&amp;Other</w:t>
      </w:r>
      <w:proofErr w:type="spellEnd"/>
      <w:r w:rsidRPr="009E675D">
        <w:rPr>
          <w:rFonts w:ascii="Overpass" w:hAnsi="Overpass" w:cs="Arial"/>
        </w:rPr>
        <w:t>/White awarding gap has also increased by 4% point when compared to 2020/21.</w:t>
      </w:r>
    </w:p>
    <w:p w14:paraId="481B184A" w14:textId="59149043" w:rsidR="006A654A" w:rsidRDefault="00607369" w:rsidP="00DF68B0">
      <w:pPr>
        <w:rPr>
          <w:rFonts w:ascii="Overpass" w:hAnsi="Overpass" w:cs="Arial"/>
        </w:rPr>
      </w:pPr>
      <w:r w:rsidRPr="00B45CDE">
        <w:rPr>
          <w:rFonts w:ascii="Overpass" w:hAnsi="Overpass" w:cs="Arial"/>
          <w:noProof/>
        </w:rPr>
        <w:drawing>
          <wp:inline distT="0" distB="0" distL="0" distR="0" wp14:anchorId="04EF4A96" wp14:editId="1037F5A9">
            <wp:extent cx="9777730" cy="1597025"/>
            <wp:effectExtent l="0" t="0" r="1270" b="3175"/>
            <wp:docPr id="1359941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41727" name=""/>
                    <pic:cNvPicPr/>
                  </pic:nvPicPr>
                  <pic:blipFill>
                    <a:blip r:embed="rId32"/>
                    <a:stretch>
                      <a:fillRect/>
                    </a:stretch>
                  </pic:blipFill>
                  <pic:spPr>
                    <a:xfrm>
                      <a:off x="0" y="0"/>
                      <a:ext cx="9777730" cy="1597025"/>
                    </a:xfrm>
                    <a:prstGeom prst="rect">
                      <a:avLst/>
                    </a:prstGeom>
                  </pic:spPr>
                </pic:pic>
              </a:graphicData>
            </a:graphic>
          </wp:inline>
        </w:drawing>
      </w:r>
    </w:p>
    <w:p w14:paraId="09EEA79D" w14:textId="77777777" w:rsidR="00BD2CA7" w:rsidRDefault="00BD2CA7" w:rsidP="00DF68B0">
      <w:pPr>
        <w:rPr>
          <w:rFonts w:ascii="Overpass" w:hAnsi="Overpass" w:cs="Arial"/>
          <w:b/>
          <w:bCs/>
        </w:rPr>
      </w:pPr>
    </w:p>
    <w:p w14:paraId="6EBCC252" w14:textId="77777777" w:rsidR="00BD2CA7" w:rsidRDefault="00BD2CA7" w:rsidP="00DF68B0">
      <w:pPr>
        <w:rPr>
          <w:rFonts w:ascii="Overpass" w:hAnsi="Overpass" w:cs="Arial"/>
          <w:b/>
          <w:bCs/>
        </w:rPr>
      </w:pPr>
    </w:p>
    <w:p w14:paraId="3C11C233" w14:textId="77777777" w:rsidR="00BD2CA7" w:rsidRDefault="00BD2CA7" w:rsidP="00DF68B0">
      <w:pPr>
        <w:rPr>
          <w:rFonts w:ascii="Overpass" w:hAnsi="Overpass" w:cs="Arial"/>
          <w:b/>
          <w:bCs/>
        </w:rPr>
      </w:pPr>
    </w:p>
    <w:p w14:paraId="01E48EE2" w14:textId="77777777" w:rsidR="00BD2CA7" w:rsidRDefault="00BD2CA7" w:rsidP="00DF68B0">
      <w:pPr>
        <w:rPr>
          <w:rFonts w:ascii="Overpass" w:hAnsi="Overpass" w:cs="Arial"/>
          <w:b/>
          <w:bCs/>
        </w:rPr>
      </w:pPr>
    </w:p>
    <w:p w14:paraId="0F619001" w14:textId="77777777" w:rsidR="00BD2CA7" w:rsidRDefault="00BD2CA7" w:rsidP="00DF68B0">
      <w:pPr>
        <w:rPr>
          <w:rFonts w:ascii="Overpass" w:hAnsi="Overpass" w:cs="Arial"/>
          <w:b/>
          <w:bCs/>
        </w:rPr>
      </w:pPr>
    </w:p>
    <w:p w14:paraId="7A8801CE" w14:textId="77777777" w:rsidR="00CA61B8" w:rsidRDefault="00CA61B8" w:rsidP="00DF68B0">
      <w:pPr>
        <w:rPr>
          <w:rFonts w:ascii="Overpass" w:hAnsi="Overpass" w:cs="Arial"/>
          <w:b/>
          <w:bCs/>
        </w:rPr>
      </w:pPr>
    </w:p>
    <w:p w14:paraId="462E61B0" w14:textId="168B56A7" w:rsidR="00DF68B0" w:rsidRDefault="00A47CF9" w:rsidP="00DF68B0">
      <w:pPr>
        <w:rPr>
          <w:rFonts w:ascii="Overpass" w:hAnsi="Overpass" w:cs="Arial"/>
        </w:rPr>
      </w:pPr>
      <w:r w:rsidRPr="00436E98">
        <w:rPr>
          <w:rFonts w:ascii="Overpass" w:hAnsi="Overpass" w:cs="Arial"/>
          <w:b/>
          <w:bCs/>
        </w:rPr>
        <w:lastRenderedPageBreak/>
        <w:t>Table 8</w:t>
      </w:r>
      <w:r w:rsidR="00436E98">
        <w:rPr>
          <w:rFonts w:ascii="Overpass" w:hAnsi="Overpass" w:cs="Arial"/>
        </w:rPr>
        <w:t xml:space="preserve"> shows data on level of </w:t>
      </w:r>
      <w:r w:rsidR="001332F5">
        <w:rPr>
          <w:rFonts w:ascii="Overpass" w:hAnsi="Overpass" w:cs="Arial"/>
        </w:rPr>
        <w:t xml:space="preserve">student </w:t>
      </w:r>
      <w:r w:rsidR="00436E98">
        <w:rPr>
          <w:rFonts w:ascii="Overpass" w:hAnsi="Overpass" w:cs="Arial"/>
        </w:rPr>
        <w:t xml:space="preserve">achievement by declared disability. </w:t>
      </w:r>
      <w:r w:rsidR="00DF68B0" w:rsidRPr="002C5BCE">
        <w:rPr>
          <w:rFonts w:ascii="Overpass" w:hAnsi="Overpass" w:cs="Arial"/>
        </w:rPr>
        <w:t>Students declaring a disability do not appear to be disadvantaged in terms of degree award outcomes, maintaining comparable rates of 1st/2(1) achievement with those with no known disability.</w:t>
      </w:r>
    </w:p>
    <w:p w14:paraId="5FBA2A3C" w14:textId="5A227848" w:rsidR="00BD2CA7" w:rsidRDefault="00BD2CA7" w:rsidP="00DF68B0">
      <w:pPr>
        <w:rPr>
          <w:rFonts w:ascii="Overpass" w:hAnsi="Overpass" w:cs="Arial"/>
        </w:rPr>
      </w:pPr>
      <w:r w:rsidRPr="00B45CDE">
        <w:rPr>
          <w:rFonts w:ascii="Overpass" w:hAnsi="Overpass" w:cs="Arial"/>
          <w:noProof/>
        </w:rPr>
        <w:drawing>
          <wp:inline distT="0" distB="0" distL="0" distR="0" wp14:anchorId="776D456F" wp14:editId="3E2FE360">
            <wp:extent cx="9777730" cy="1423035"/>
            <wp:effectExtent l="0" t="0" r="1270" b="0"/>
            <wp:docPr id="1240186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86725" name=""/>
                    <pic:cNvPicPr/>
                  </pic:nvPicPr>
                  <pic:blipFill>
                    <a:blip r:embed="rId33"/>
                    <a:stretch>
                      <a:fillRect/>
                    </a:stretch>
                  </pic:blipFill>
                  <pic:spPr>
                    <a:xfrm>
                      <a:off x="0" y="0"/>
                      <a:ext cx="9777730" cy="1423035"/>
                    </a:xfrm>
                    <a:prstGeom prst="rect">
                      <a:avLst/>
                    </a:prstGeom>
                  </pic:spPr>
                </pic:pic>
              </a:graphicData>
            </a:graphic>
          </wp:inline>
        </w:drawing>
      </w:r>
    </w:p>
    <w:p w14:paraId="7C666816" w14:textId="6633E2CA" w:rsidR="00DF68B0" w:rsidRPr="002C5BCE" w:rsidRDefault="00BD2CA7" w:rsidP="00DF68B0">
      <w:pPr>
        <w:rPr>
          <w:rFonts w:ascii="Overpass" w:hAnsi="Overpass" w:cs="Arial"/>
        </w:rPr>
      </w:pPr>
      <w:r w:rsidRPr="006F3983">
        <w:rPr>
          <w:rFonts w:ascii="Overpass" w:hAnsi="Overpass" w:cs="Arial"/>
          <w:b/>
          <w:bCs/>
        </w:rPr>
        <w:t>Table 9</w:t>
      </w:r>
      <w:r>
        <w:rPr>
          <w:rFonts w:ascii="Overpass" w:hAnsi="Overpass" w:cs="Arial"/>
        </w:rPr>
        <w:t xml:space="preserve"> presents </w:t>
      </w:r>
      <w:r w:rsidR="00CC4DFE">
        <w:rPr>
          <w:rFonts w:ascii="Overpass" w:hAnsi="Overpass" w:cs="Arial"/>
        </w:rPr>
        <w:t xml:space="preserve">data on level of </w:t>
      </w:r>
      <w:r w:rsidR="001332F5">
        <w:rPr>
          <w:rFonts w:ascii="Overpass" w:hAnsi="Overpass" w:cs="Arial"/>
        </w:rPr>
        <w:t xml:space="preserve">student </w:t>
      </w:r>
      <w:r w:rsidR="00CC4DFE">
        <w:rPr>
          <w:rFonts w:ascii="Overpass" w:hAnsi="Overpass" w:cs="Arial"/>
        </w:rPr>
        <w:t>achievement by POLAR4 quintile</w:t>
      </w:r>
      <w:r w:rsidR="00E20121">
        <w:rPr>
          <w:rFonts w:ascii="Overpass" w:hAnsi="Overpass" w:cs="Arial"/>
        </w:rPr>
        <w:t xml:space="preserve">, where </w:t>
      </w:r>
      <w:r w:rsidR="00DF68B0" w:rsidRPr="002C5BCE">
        <w:rPr>
          <w:rFonts w:ascii="Overpass" w:hAnsi="Overpass" w:cs="Arial"/>
        </w:rPr>
        <w:t xml:space="preserve">1st/2(1) rates for student coming of areas of low higher education participation </w:t>
      </w:r>
      <w:r w:rsidR="00A57DD3">
        <w:rPr>
          <w:rFonts w:ascii="Overpass" w:hAnsi="Overpass" w:cs="Arial"/>
        </w:rPr>
        <w:t xml:space="preserve">has reduced to 82% in 2021/22 when compared to the previous year. </w:t>
      </w:r>
      <w:r w:rsidR="003541B5" w:rsidRPr="002C5BCE">
        <w:rPr>
          <w:rFonts w:ascii="Overpass" w:hAnsi="Overpass" w:cs="Arial"/>
        </w:rPr>
        <w:t xml:space="preserve">1st/2(1) rates </w:t>
      </w:r>
      <w:r w:rsidR="00DF68B0" w:rsidRPr="002C5BCE">
        <w:rPr>
          <w:rFonts w:ascii="Overpass" w:hAnsi="Overpass" w:cs="Arial"/>
        </w:rPr>
        <w:t xml:space="preserve">for students from areas of high participation </w:t>
      </w:r>
      <w:r w:rsidR="006F3983">
        <w:rPr>
          <w:rFonts w:ascii="Overpass" w:hAnsi="Overpass" w:cs="Arial"/>
        </w:rPr>
        <w:t>increased to 90% from 88% recorded in two previous years.</w:t>
      </w:r>
    </w:p>
    <w:p w14:paraId="35DAE827" w14:textId="6B45BB2D" w:rsidR="00E20121" w:rsidRDefault="00E20121" w:rsidP="00DF68B0">
      <w:pPr>
        <w:rPr>
          <w:rFonts w:ascii="Overpass" w:hAnsi="Overpass" w:cs="Arial"/>
        </w:rPr>
      </w:pPr>
      <w:r w:rsidRPr="00B45CDE">
        <w:rPr>
          <w:rFonts w:ascii="Overpass" w:hAnsi="Overpass" w:cs="Arial"/>
          <w:noProof/>
        </w:rPr>
        <w:drawing>
          <wp:inline distT="0" distB="0" distL="0" distR="0" wp14:anchorId="6D2A8EFA" wp14:editId="7D5B355A">
            <wp:extent cx="9777730" cy="1423035"/>
            <wp:effectExtent l="0" t="0" r="1270" b="0"/>
            <wp:docPr id="682360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60256" name=""/>
                    <pic:cNvPicPr/>
                  </pic:nvPicPr>
                  <pic:blipFill>
                    <a:blip r:embed="rId34"/>
                    <a:stretch>
                      <a:fillRect/>
                    </a:stretch>
                  </pic:blipFill>
                  <pic:spPr>
                    <a:xfrm>
                      <a:off x="0" y="0"/>
                      <a:ext cx="9777730" cy="1423035"/>
                    </a:xfrm>
                    <a:prstGeom prst="rect">
                      <a:avLst/>
                    </a:prstGeom>
                  </pic:spPr>
                </pic:pic>
              </a:graphicData>
            </a:graphic>
          </wp:inline>
        </w:drawing>
      </w:r>
    </w:p>
    <w:p w14:paraId="3291D140" w14:textId="77777777" w:rsidR="00E20121" w:rsidRDefault="00E20121" w:rsidP="00DF68B0">
      <w:pPr>
        <w:rPr>
          <w:rFonts w:ascii="Overpass" w:hAnsi="Overpass" w:cs="Arial"/>
        </w:rPr>
      </w:pPr>
    </w:p>
    <w:p w14:paraId="3A46EA6B" w14:textId="1DDD642E" w:rsidR="00B45CDE" w:rsidRDefault="006F3983" w:rsidP="00E60C81">
      <w:pPr>
        <w:rPr>
          <w:rFonts w:ascii="Overpass" w:hAnsi="Overpass" w:cs="Arial"/>
        </w:rPr>
      </w:pPr>
      <w:r w:rsidRPr="001332F5">
        <w:rPr>
          <w:rFonts w:ascii="Overpass" w:hAnsi="Overpass" w:cs="Arial"/>
          <w:b/>
          <w:bCs/>
        </w:rPr>
        <w:lastRenderedPageBreak/>
        <w:t>Table 10</w:t>
      </w:r>
      <w:r>
        <w:rPr>
          <w:rFonts w:ascii="Overpass" w:hAnsi="Overpass" w:cs="Arial"/>
        </w:rPr>
        <w:t xml:space="preserve"> shows data on level of </w:t>
      </w:r>
      <w:r w:rsidR="001332F5">
        <w:rPr>
          <w:rFonts w:ascii="Overpass" w:hAnsi="Overpass" w:cs="Arial"/>
        </w:rPr>
        <w:t xml:space="preserve">student </w:t>
      </w:r>
      <w:r>
        <w:rPr>
          <w:rFonts w:ascii="Overpass" w:hAnsi="Overpass" w:cs="Arial"/>
        </w:rPr>
        <w:t xml:space="preserve">achievement by IMD 2019 (England) quintile. </w:t>
      </w:r>
      <w:r w:rsidR="00DF68B0" w:rsidRPr="002C5BCE">
        <w:rPr>
          <w:rFonts w:ascii="Overpass" w:hAnsi="Overpass" w:cs="Arial"/>
        </w:rPr>
        <w:t>There remains a sizeable difference between 1st/2(1) rates between students from the most deprived localities and those from the least deprived areas</w:t>
      </w:r>
      <w:r w:rsidR="00AE3E63">
        <w:rPr>
          <w:rFonts w:ascii="Overpass" w:hAnsi="Overpass" w:cs="Arial"/>
        </w:rPr>
        <w:t xml:space="preserve">. This difference has increased by </w:t>
      </w:r>
      <w:r w:rsidR="00BF3D5D">
        <w:rPr>
          <w:rFonts w:ascii="Overpass" w:hAnsi="Overpass" w:cs="Arial"/>
        </w:rPr>
        <w:t xml:space="preserve">6% </w:t>
      </w:r>
      <w:r w:rsidR="00AE52EC">
        <w:rPr>
          <w:rFonts w:ascii="Overpass" w:hAnsi="Overpass" w:cs="Arial"/>
        </w:rPr>
        <w:t>percentage</w:t>
      </w:r>
      <w:r w:rsidR="00BF3D5D">
        <w:rPr>
          <w:rFonts w:ascii="Overpass" w:hAnsi="Overpass" w:cs="Arial"/>
        </w:rPr>
        <w:t xml:space="preserve"> points in 2021</w:t>
      </w:r>
      <w:r w:rsidR="00AE52EC">
        <w:rPr>
          <w:rFonts w:ascii="Overpass" w:hAnsi="Overpass" w:cs="Arial"/>
        </w:rPr>
        <w:t xml:space="preserve">/22 when compared to the previous year (16% vs 10%). </w:t>
      </w:r>
    </w:p>
    <w:p w14:paraId="6E436713" w14:textId="77A9D2D1" w:rsidR="00B45CDE" w:rsidRDefault="00B45CDE" w:rsidP="00E60C81">
      <w:pPr>
        <w:rPr>
          <w:rFonts w:ascii="Overpass" w:hAnsi="Overpass" w:cs="Arial"/>
        </w:rPr>
      </w:pPr>
      <w:r w:rsidRPr="00B45CDE">
        <w:rPr>
          <w:rFonts w:ascii="Overpass" w:hAnsi="Overpass" w:cs="Arial"/>
          <w:noProof/>
        </w:rPr>
        <w:drawing>
          <wp:inline distT="0" distB="0" distL="0" distR="0" wp14:anchorId="490991B6" wp14:editId="32491C5A">
            <wp:extent cx="9777730" cy="1423035"/>
            <wp:effectExtent l="0" t="0" r="1270" b="0"/>
            <wp:docPr id="1472802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02039" name=""/>
                    <pic:cNvPicPr/>
                  </pic:nvPicPr>
                  <pic:blipFill>
                    <a:blip r:embed="rId35"/>
                    <a:stretch>
                      <a:fillRect/>
                    </a:stretch>
                  </pic:blipFill>
                  <pic:spPr>
                    <a:xfrm>
                      <a:off x="0" y="0"/>
                      <a:ext cx="9777730" cy="1423035"/>
                    </a:xfrm>
                    <a:prstGeom prst="rect">
                      <a:avLst/>
                    </a:prstGeom>
                  </pic:spPr>
                </pic:pic>
              </a:graphicData>
            </a:graphic>
          </wp:inline>
        </w:drawing>
      </w:r>
    </w:p>
    <w:p w14:paraId="1BD60AA5" w14:textId="4D9BD4E6" w:rsidR="00C2707E" w:rsidRPr="002C5BCE" w:rsidRDefault="00AD1F5B" w:rsidP="00E60C81">
      <w:pPr>
        <w:rPr>
          <w:rFonts w:ascii="Overpass" w:hAnsi="Overpass" w:cs="Arial"/>
          <w:sz w:val="20"/>
          <w:szCs w:val="20"/>
          <w:shd w:val="clear" w:color="auto" w:fill="FFFFFF"/>
        </w:rPr>
      </w:pPr>
      <w:r w:rsidRPr="002C5BCE">
        <w:rPr>
          <w:rFonts w:ascii="Overpass" w:hAnsi="Overpass" w:cs="Arial"/>
        </w:rPr>
        <w:t xml:space="preserve">Nb. </w:t>
      </w:r>
      <w:r w:rsidRPr="002C5BCE">
        <w:rPr>
          <w:rFonts w:ascii="Overpass" w:hAnsi="Overpass" w:cs="Arial"/>
          <w:sz w:val="20"/>
          <w:szCs w:val="20"/>
          <w:shd w:val="clear" w:color="auto" w:fill="FFFFFF"/>
        </w:rPr>
        <w:t>[s] = suppressed – HESA rounding strategy applied – percentages need at least 22.5 people in the denominator</w:t>
      </w:r>
      <w:r w:rsidR="00B3158E" w:rsidRPr="002C5BCE">
        <w:rPr>
          <w:rFonts w:ascii="Overpass" w:hAnsi="Overpass" w:cs="Arial"/>
          <w:sz w:val="20"/>
          <w:szCs w:val="20"/>
          <w:shd w:val="clear" w:color="auto" w:fill="FFFFFF"/>
        </w:rPr>
        <w:t xml:space="preserve">. </w:t>
      </w:r>
    </w:p>
    <w:sectPr w:rsidR="00C2707E" w:rsidRPr="002C5BCE" w:rsidSect="00F56B56">
      <w:headerReference w:type="default" r:id="rId3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6846" w14:textId="77777777" w:rsidR="002242B6" w:rsidRDefault="002242B6" w:rsidP="00EC32AF">
      <w:pPr>
        <w:spacing w:after="0" w:line="240" w:lineRule="auto"/>
      </w:pPr>
      <w:r>
        <w:separator/>
      </w:r>
    </w:p>
  </w:endnote>
  <w:endnote w:type="continuationSeparator" w:id="0">
    <w:p w14:paraId="0FD42029" w14:textId="77777777" w:rsidR="002242B6" w:rsidRDefault="002242B6" w:rsidP="00EC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verpass">
    <w:panose1 w:val="00000500000000000000"/>
    <w:charset w:val="4D"/>
    <w:family w:val="auto"/>
    <w:pitch w:val="variable"/>
    <w:sig w:usb0="00000003" w:usb1="0000002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45C5" w14:textId="77777777" w:rsidR="00BD7805" w:rsidRPr="00F56B56" w:rsidRDefault="00BD7805">
    <w:pPr>
      <w:pStyle w:val="Footer"/>
      <w:jc w:val="center"/>
      <w:rPr>
        <w:rFonts w:ascii="Overpass" w:hAnsi="Overpass"/>
        <w:sz w:val="20"/>
        <w:szCs w:val="20"/>
      </w:rPr>
    </w:pPr>
    <w:r w:rsidRPr="00F56B56">
      <w:rPr>
        <w:rFonts w:ascii="Overpass" w:hAnsi="Overpass"/>
        <w:sz w:val="20"/>
        <w:szCs w:val="20"/>
      </w:rPr>
      <w:t xml:space="preserve">Page </w:t>
    </w:r>
    <w:r w:rsidRPr="00F56B56">
      <w:rPr>
        <w:rFonts w:ascii="Overpass" w:hAnsi="Overpass"/>
        <w:sz w:val="20"/>
        <w:szCs w:val="20"/>
      </w:rPr>
      <w:fldChar w:fldCharType="begin"/>
    </w:r>
    <w:r w:rsidRPr="00F56B56">
      <w:rPr>
        <w:rFonts w:ascii="Overpass" w:hAnsi="Overpass"/>
        <w:sz w:val="20"/>
        <w:szCs w:val="20"/>
      </w:rPr>
      <w:instrText xml:space="preserve"> PAGE  \* Arabic  \* MERGEFORMAT </w:instrText>
    </w:r>
    <w:r w:rsidRPr="00F56B56">
      <w:rPr>
        <w:rFonts w:ascii="Overpass" w:hAnsi="Overpass"/>
        <w:sz w:val="20"/>
        <w:szCs w:val="20"/>
      </w:rPr>
      <w:fldChar w:fldCharType="separate"/>
    </w:r>
    <w:r w:rsidRPr="00F56B56">
      <w:rPr>
        <w:rFonts w:ascii="Overpass" w:hAnsi="Overpass"/>
        <w:noProof/>
        <w:sz w:val="20"/>
        <w:szCs w:val="20"/>
      </w:rPr>
      <w:t>2</w:t>
    </w:r>
    <w:r w:rsidRPr="00F56B56">
      <w:rPr>
        <w:rFonts w:ascii="Overpass" w:hAnsi="Overpass"/>
        <w:sz w:val="20"/>
        <w:szCs w:val="20"/>
      </w:rPr>
      <w:fldChar w:fldCharType="end"/>
    </w:r>
    <w:r w:rsidRPr="00F56B56">
      <w:rPr>
        <w:rFonts w:ascii="Overpass" w:hAnsi="Overpass"/>
        <w:sz w:val="20"/>
        <w:szCs w:val="20"/>
      </w:rPr>
      <w:t xml:space="preserve"> of </w:t>
    </w:r>
    <w:r w:rsidRPr="00F56B56">
      <w:rPr>
        <w:rFonts w:ascii="Overpass" w:hAnsi="Overpass"/>
        <w:sz w:val="20"/>
        <w:szCs w:val="20"/>
      </w:rPr>
      <w:fldChar w:fldCharType="begin"/>
    </w:r>
    <w:r w:rsidRPr="00F56B56">
      <w:rPr>
        <w:rFonts w:ascii="Overpass" w:hAnsi="Overpass"/>
        <w:sz w:val="20"/>
        <w:szCs w:val="20"/>
      </w:rPr>
      <w:instrText xml:space="preserve"> NUMPAGES  \* Arabic  \* MERGEFORMAT </w:instrText>
    </w:r>
    <w:r w:rsidRPr="00F56B56">
      <w:rPr>
        <w:rFonts w:ascii="Overpass" w:hAnsi="Overpass"/>
        <w:sz w:val="20"/>
        <w:szCs w:val="20"/>
      </w:rPr>
      <w:fldChar w:fldCharType="separate"/>
    </w:r>
    <w:r w:rsidRPr="00F56B56">
      <w:rPr>
        <w:rFonts w:ascii="Overpass" w:hAnsi="Overpass"/>
        <w:noProof/>
        <w:sz w:val="20"/>
        <w:szCs w:val="20"/>
      </w:rPr>
      <w:t>2</w:t>
    </w:r>
    <w:r w:rsidRPr="00F56B56">
      <w:rPr>
        <w:rFonts w:ascii="Overpass" w:hAnsi="Overpass"/>
        <w:sz w:val="20"/>
        <w:szCs w:val="20"/>
      </w:rPr>
      <w:fldChar w:fldCharType="end"/>
    </w:r>
  </w:p>
  <w:p w14:paraId="2EB2D884" w14:textId="77777777" w:rsidR="00BD7805" w:rsidRDefault="00BD7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2520" w14:textId="77777777" w:rsidR="002242B6" w:rsidRDefault="002242B6" w:rsidP="00EC32AF">
      <w:pPr>
        <w:spacing w:after="0" w:line="240" w:lineRule="auto"/>
      </w:pPr>
      <w:r>
        <w:separator/>
      </w:r>
    </w:p>
  </w:footnote>
  <w:footnote w:type="continuationSeparator" w:id="0">
    <w:p w14:paraId="68429A72" w14:textId="77777777" w:rsidR="002242B6" w:rsidRDefault="002242B6" w:rsidP="00EC3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E003" w14:textId="72BF8FDD" w:rsidR="00770B39" w:rsidRDefault="00770B39">
    <w:pPr>
      <w:pStyle w:val="Header"/>
    </w:pPr>
    <w:r>
      <w:rPr>
        <w:noProof/>
      </w:rPr>
      <w:drawing>
        <wp:anchor distT="0" distB="0" distL="114300" distR="114300" simplePos="0" relativeHeight="251660288" behindDoc="0" locked="0" layoutInCell="1" allowOverlap="1" wp14:anchorId="39FF12B0" wp14:editId="12651FA3">
          <wp:simplePos x="0" y="0"/>
          <wp:positionH relativeFrom="column">
            <wp:posOffset>-454660</wp:posOffset>
          </wp:positionH>
          <wp:positionV relativeFrom="paragraph">
            <wp:posOffset>-448945</wp:posOffset>
          </wp:positionV>
          <wp:extent cx="7560000" cy="790957"/>
          <wp:effectExtent l="0" t="0" r="0" b="0"/>
          <wp:wrapSquare wrapText="bothSides"/>
          <wp:docPr id="479771942" name="Picture 1" descr="University of K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71942" name="Picture 1" descr="University of Kent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790957"/>
                  </a:xfrm>
                  <a:prstGeom prst="rect">
                    <a:avLst/>
                  </a:prstGeom>
                </pic:spPr>
              </pic:pic>
            </a:graphicData>
          </a:graphic>
          <wp14:sizeRelH relativeFrom="page">
            <wp14:pctWidth>0</wp14:pctWidth>
          </wp14:sizeRelH>
          <wp14:sizeRelV relativeFrom="page">
            <wp14:pctHeight>0</wp14:pctHeight>
          </wp14:sizeRelV>
        </wp:anchor>
      </w:drawing>
    </w:r>
  </w:p>
  <w:p w14:paraId="37AE9002" w14:textId="77777777" w:rsidR="00770B39" w:rsidRDefault="00770B39" w:rsidP="00B65664">
    <w:pPr>
      <w:pStyle w:val="Header"/>
      <w:jc w:val="center"/>
      <w:rPr>
        <w:rFonts w:ascii="Overpass" w:hAnsi="Overpass"/>
        <w:b/>
        <w:bCs/>
      </w:rPr>
    </w:pPr>
    <w:r w:rsidRPr="00B65664">
      <w:rPr>
        <w:rFonts w:ascii="Overpass" w:hAnsi="Overpass"/>
        <w:b/>
        <w:bCs/>
      </w:rPr>
      <w:t>Degree Outcomes Statement 202</w:t>
    </w:r>
    <w:r>
      <w:rPr>
        <w:rFonts w:ascii="Overpass" w:hAnsi="Overpass"/>
        <w:b/>
        <w:bCs/>
      </w:rPr>
      <w:t>3</w:t>
    </w:r>
  </w:p>
  <w:p w14:paraId="3ED76A0E" w14:textId="77777777" w:rsidR="00770B39" w:rsidRPr="00B65664" w:rsidRDefault="00770B39" w:rsidP="00B65664">
    <w:pPr>
      <w:pStyle w:val="Header"/>
      <w:jc w:val="center"/>
      <w:rPr>
        <w:rFonts w:ascii="Overpass" w:hAnsi="Overpass"/>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3633" w14:textId="77777777" w:rsidR="00CA61B8" w:rsidRDefault="00CA61B8">
    <w:pPr>
      <w:pStyle w:val="Header"/>
    </w:pPr>
    <w:r>
      <w:rPr>
        <w:noProof/>
      </w:rPr>
      <w:drawing>
        <wp:anchor distT="0" distB="0" distL="114300" distR="114300" simplePos="0" relativeHeight="251662336" behindDoc="0" locked="0" layoutInCell="1" allowOverlap="1" wp14:anchorId="5B13FFA2" wp14:editId="2942DDEB">
          <wp:simplePos x="0" y="0"/>
          <wp:positionH relativeFrom="column">
            <wp:posOffset>-454660</wp:posOffset>
          </wp:positionH>
          <wp:positionV relativeFrom="paragraph">
            <wp:posOffset>-448945</wp:posOffset>
          </wp:positionV>
          <wp:extent cx="10692000" cy="1118639"/>
          <wp:effectExtent l="0" t="0" r="1905" b="0"/>
          <wp:wrapSquare wrapText="bothSides"/>
          <wp:docPr id="41972015" name="Picture 41972015" descr="University of K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71942" name="Picture 1" descr="University of Kent logo"/>
                  <pic:cNvPicPr/>
                </pic:nvPicPr>
                <pic:blipFill>
                  <a:blip r:embed="rId1">
                    <a:extLst>
                      <a:ext uri="{28A0092B-C50C-407E-A947-70E740481C1C}">
                        <a14:useLocalDpi xmlns:a14="http://schemas.microsoft.com/office/drawing/2010/main" val="0"/>
                      </a:ext>
                    </a:extLst>
                  </a:blip>
                  <a:stretch>
                    <a:fillRect/>
                  </a:stretch>
                </pic:blipFill>
                <pic:spPr>
                  <a:xfrm>
                    <a:off x="0" y="0"/>
                    <a:ext cx="10692000" cy="1118639"/>
                  </a:xfrm>
                  <a:prstGeom prst="rect">
                    <a:avLst/>
                  </a:prstGeom>
                </pic:spPr>
              </pic:pic>
            </a:graphicData>
          </a:graphic>
          <wp14:sizeRelH relativeFrom="page">
            <wp14:pctWidth>0</wp14:pctWidth>
          </wp14:sizeRelH>
          <wp14:sizeRelV relativeFrom="page">
            <wp14:pctHeight>0</wp14:pctHeight>
          </wp14:sizeRelV>
        </wp:anchor>
      </w:drawing>
    </w:r>
  </w:p>
  <w:p w14:paraId="0ADE23F0" w14:textId="77777777" w:rsidR="00CA61B8" w:rsidRDefault="00CA61B8" w:rsidP="00B65664">
    <w:pPr>
      <w:pStyle w:val="Header"/>
      <w:jc w:val="center"/>
      <w:rPr>
        <w:rFonts w:ascii="Overpass" w:hAnsi="Overpass"/>
        <w:b/>
        <w:bCs/>
      </w:rPr>
    </w:pPr>
    <w:r w:rsidRPr="00B65664">
      <w:rPr>
        <w:rFonts w:ascii="Overpass" w:hAnsi="Overpass"/>
        <w:b/>
        <w:bCs/>
      </w:rPr>
      <w:t>Degree Outcomes Statement 202</w:t>
    </w:r>
    <w:r>
      <w:rPr>
        <w:rFonts w:ascii="Overpass" w:hAnsi="Overpass"/>
        <w:b/>
        <w:bCs/>
      </w:rPr>
      <w:t>3</w:t>
    </w:r>
  </w:p>
  <w:p w14:paraId="071566C3" w14:textId="77777777" w:rsidR="00CA61B8" w:rsidRPr="00B65664" w:rsidRDefault="00CA61B8" w:rsidP="00B65664">
    <w:pPr>
      <w:pStyle w:val="Header"/>
      <w:jc w:val="center"/>
      <w:rPr>
        <w:rFonts w:ascii="Overpass" w:hAnsi="Overpass"/>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A29"/>
    <w:multiLevelType w:val="hybridMultilevel"/>
    <w:tmpl w:val="1CBE1C7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A733D8"/>
    <w:multiLevelType w:val="hybridMultilevel"/>
    <w:tmpl w:val="26CA80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4741F"/>
    <w:multiLevelType w:val="hybridMultilevel"/>
    <w:tmpl w:val="1A9E9EB0"/>
    <w:lvl w:ilvl="0" w:tplc="C930BF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AB44E7"/>
    <w:multiLevelType w:val="hybridMultilevel"/>
    <w:tmpl w:val="4232F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A5CEA"/>
    <w:multiLevelType w:val="hybridMultilevel"/>
    <w:tmpl w:val="4232F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097CCD"/>
    <w:multiLevelType w:val="hybridMultilevel"/>
    <w:tmpl w:val="272C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D3132"/>
    <w:multiLevelType w:val="hybridMultilevel"/>
    <w:tmpl w:val="C608CCFA"/>
    <w:lvl w:ilvl="0" w:tplc="C930BF58">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F0121D"/>
    <w:multiLevelType w:val="hybridMultilevel"/>
    <w:tmpl w:val="1CBE1C7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62E07"/>
    <w:multiLevelType w:val="hybridMultilevel"/>
    <w:tmpl w:val="09C2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527874"/>
    <w:multiLevelType w:val="hybridMultilevel"/>
    <w:tmpl w:val="A6D0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718768">
    <w:abstractNumId w:val="3"/>
  </w:num>
  <w:num w:numId="2" w16cid:durableId="624890388">
    <w:abstractNumId w:val="5"/>
  </w:num>
  <w:num w:numId="3" w16cid:durableId="698899304">
    <w:abstractNumId w:val="7"/>
  </w:num>
  <w:num w:numId="4" w16cid:durableId="2079090999">
    <w:abstractNumId w:val="2"/>
  </w:num>
  <w:num w:numId="5" w16cid:durableId="1586767316">
    <w:abstractNumId w:val="9"/>
  </w:num>
  <w:num w:numId="6" w16cid:durableId="198395841">
    <w:abstractNumId w:val="8"/>
  </w:num>
  <w:num w:numId="7" w16cid:durableId="1507356022">
    <w:abstractNumId w:val="4"/>
  </w:num>
  <w:num w:numId="8" w16cid:durableId="1894459776">
    <w:abstractNumId w:val="0"/>
  </w:num>
  <w:num w:numId="9" w16cid:durableId="1011763903">
    <w:abstractNumId w:val="6"/>
  </w:num>
  <w:num w:numId="10" w16cid:durableId="1224751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AF"/>
    <w:rsid w:val="000050EA"/>
    <w:rsid w:val="0000519E"/>
    <w:rsid w:val="000067BE"/>
    <w:rsid w:val="000121D3"/>
    <w:rsid w:val="0001323A"/>
    <w:rsid w:val="0001369D"/>
    <w:rsid w:val="00020150"/>
    <w:rsid w:val="00030026"/>
    <w:rsid w:val="00030748"/>
    <w:rsid w:val="0003121B"/>
    <w:rsid w:val="00031630"/>
    <w:rsid w:val="000470A3"/>
    <w:rsid w:val="00052606"/>
    <w:rsid w:val="00054A6F"/>
    <w:rsid w:val="00054F95"/>
    <w:rsid w:val="00080D51"/>
    <w:rsid w:val="00094306"/>
    <w:rsid w:val="000A4B6D"/>
    <w:rsid w:val="000A4FF5"/>
    <w:rsid w:val="000B1FA2"/>
    <w:rsid w:val="000B264F"/>
    <w:rsid w:val="000D45AB"/>
    <w:rsid w:val="000E1362"/>
    <w:rsid w:val="00131CD0"/>
    <w:rsid w:val="001332F5"/>
    <w:rsid w:val="001362BD"/>
    <w:rsid w:val="00136699"/>
    <w:rsid w:val="00141F7E"/>
    <w:rsid w:val="001441B1"/>
    <w:rsid w:val="00155384"/>
    <w:rsid w:val="001553AE"/>
    <w:rsid w:val="0015731D"/>
    <w:rsid w:val="0016242D"/>
    <w:rsid w:val="00162D5D"/>
    <w:rsid w:val="00171AC3"/>
    <w:rsid w:val="00177ABC"/>
    <w:rsid w:val="001825B8"/>
    <w:rsid w:val="00184C9C"/>
    <w:rsid w:val="0018753F"/>
    <w:rsid w:val="001A34D3"/>
    <w:rsid w:val="001C4749"/>
    <w:rsid w:val="002111BF"/>
    <w:rsid w:val="002129FC"/>
    <w:rsid w:val="00213640"/>
    <w:rsid w:val="002242B6"/>
    <w:rsid w:val="00240664"/>
    <w:rsid w:val="00242AB0"/>
    <w:rsid w:val="00244BB9"/>
    <w:rsid w:val="00253D9A"/>
    <w:rsid w:val="00267B73"/>
    <w:rsid w:val="00270D82"/>
    <w:rsid w:val="00281650"/>
    <w:rsid w:val="00290A2E"/>
    <w:rsid w:val="0029547C"/>
    <w:rsid w:val="002A336E"/>
    <w:rsid w:val="002A3CD1"/>
    <w:rsid w:val="002A5C69"/>
    <w:rsid w:val="002A7F68"/>
    <w:rsid w:val="002C00DA"/>
    <w:rsid w:val="002C121A"/>
    <w:rsid w:val="002C4C98"/>
    <w:rsid w:val="002C5BCE"/>
    <w:rsid w:val="002E1227"/>
    <w:rsid w:val="003164DC"/>
    <w:rsid w:val="00327179"/>
    <w:rsid w:val="00327CAF"/>
    <w:rsid w:val="00331A7A"/>
    <w:rsid w:val="00331C98"/>
    <w:rsid w:val="0033303B"/>
    <w:rsid w:val="00334894"/>
    <w:rsid w:val="00342C76"/>
    <w:rsid w:val="00346655"/>
    <w:rsid w:val="00346C28"/>
    <w:rsid w:val="00353F4C"/>
    <w:rsid w:val="003541B5"/>
    <w:rsid w:val="00354928"/>
    <w:rsid w:val="00354C53"/>
    <w:rsid w:val="003551C4"/>
    <w:rsid w:val="00360044"/>
    <w:rsid w:val="003700E7"/>
    <w:rsid w:val="00382E2D"/>
    <w:rsid w:val="00386C86"/>
    <w:rsid w:val="0039743C"/>
    <w:rsid w:val="00397799"/>
    <w:rsid w:val="003B06DD"/>
    <w:rsid w:val="003D2E17"/>
    <w:rsid w:val="003F06DD"/>
    <w:rsid w:val="003F760E"/>
    <w:rsid w:val="00414129"/>
    <w:rsid w:val="004201FA"/>
    <w:rsid w:val="004251A5"/>
    <w:rsid w:val="00427D8A"/>
    <w:rsid w:val="004346B1"/>
    <w:rsid w:val="00436E98"/>
    <w:rsid w:val="00450F30"/>
    <w:rsid w:val="004A56FB"/>
    <w:rsid w:val="004B39D4"/>
    <w:rsid w:val="004B3C08"/>
    <w:rsid w:val="004B6612"/>
    <w:rsid w:val="004C3828"/>
    <w:rsid w:val="004D2F7A"/>
    <w:rsid w:val="004D58C8"/>
    <w:rsid w:val="004D5A1A"/>
    <w:rsid w:val="004E5D8B"/>
    <w:rsid w:val="004F7FE1"/>
    <w:rsid w:val="0051021D"/>
    <w:rsid w:val="00514849"/>
    <w:rsid w:val="00514905"/>
    <w:rsid w:val="00520231"/>
    <w:rsid w:val="005239EE"/>
    <w:rsid w:val="00536544"/>
    <w:rsid w:val="00542C4C"/>
    <w:rsid w:val="00544342"/>
    <w:rsid w:val="00550667"/>
    <w:rsid w:val="0056448D"/>
    <w:rsid w:val="00570ADA"/>
    <w:rsid w:val="00583A5D"/>
    <w:rsid w:val="00584E02"/>
    <w:rsid w:val="0058723C"/>
    <w:rsid w:val="00596349"/>
    <w:rsid w:val="005A01C9"/>
    <w:rsid w:val="005B2FF3"/>
    <w:rsid w:val="005B51FB"/>
    <w:rsid w:val="005B5D9E"/>
    <w:rsid w:val="005C46BA"/>
    <w:rsid w:val="005C5198"/>
    <w:rsid w:val="005C616D"/>
    <w:rsid w:val="005C6377"/>
    <w:rsid w:val="005D7549"/>
    <w:rsid w:val="005E18F0"/>
    <w:rsid w:val="005E25B9"/>
    <w:rsid w:val="005E2BCF"/>
    <w:rsid w:val="005E381E"/>
    <w:rsid w:val="005F30D6"/>
    <w:rsid w:val="006025B6"/>
    <w:rsid w:val="006061CB"/>
    <w:rsid w:val="00607369"/>
    <w:rsid w:val="00611100"/>
    <w:rsid w:val="006238A8"/>
    <w:rsid w:val="00626837"/>
    <w:rsid w:val="006367C4"/>
    <w:rsid w:val="006370D5"/>
    <w:rsid w:val="00640BE1"/>
    <w:rsid w:val="006568C4"/>
    <w:rsid w:val="006575FD"/>
    <w:rsid w:val="00663505"/>
    <w:rsid w:val="00664EAB"/>
    <w:rsid w:val="00671CC5"/>
    <w:rsid w:val="00672812"/>
    <w:rsid w:val="006979F5"/>
    <w:rsid w:val="00697E7E"/>
    <w:rsid w:val="006A5903"/>
    <w:rsid w:val="006A654A"/>
    <w:rsid w:val="006B7947"/>
    <w:rsid w:val="006C7DA7"/>
    <w:rsid w:val="006D2286"/>
    <w:rsid w:val="006D6AF0"/>
    <w:rsid w:val="006F3983"/>
    <w:rsid w:val="006F3A4B"/>
    <w:rsid w:val="007053AC"/>
    <w:rsid w:val="007124DB"/>
    <w:rsid w:val="00713392"/>
    <w:rsid w:val="007226A8"/>
    <w:rsid w:val="00723D6F"/>
    <w:rsid w:val="00726F85"/>
    <w:rsid w:val="00733818"/>
    <w:rsid w:val="00742161"/>
    <w:rsid w:val="00746CED"/>
    <w:rsid w:val="00747D33"/>
    <w:rsid w:val="007506D1"/>
    <w:rsid w:val="00770B39"/>
    <w:rsid w:val="00774838"/>
    <w:rsid w:val="00776F6B"/>
    <w:rsid w:val="00792EE9"/>
    <w:rsid w:val="00793A1D"/>
    <w:rsid w:val="007B0C0E"/>
    <w:rsid w:val="007B6EDE"/>
    <w:rsid w:val="007B79C5"/>
    <w:rsid w:val="007D1893"/>
    <w:rsid w:val="007E44D6"/>
    <w:rsid w:val="007F1DA4"/>
    <w:rsid w:val="007F2108"/>
    <w:rsid w:val="007F6AC8"/>
    <w:rsid w:val="008106AD"/>
    <w:rsid w:val="008151D8"/>
    <w:rsid w:val="00816045"/>
    <w:rsid w:val="008274AC"/>
    <w:rsid w:val="00827898"/>
    <w:rsid w:val="008303C6"/>
    <w:rsid w:val="00830571"/>
    <w:rsid w:val="008360C8"/>
    <w:rsid w:val="008515C4"/>
    <w:rsid w:val="00855E63"/>
    <w:rsid w:val="00857A40"/>
    <w:rsid w:val="00864D4C"/>
    <w:rsid w:val="00871D59"/>
    <w:rsid w:val="008D289E"/>
    <w:rsid w:val="008F2A10"/>
    <w:rsid w:val="00904521"/>
    <w:rsid w:val="00913E12"/>
    <w:rsid w:val="00914F63"/>
    <w:rsid w:val="009154A2"/>
    <w:rsid w:val="00916DD4"/>
    <w:rsid w:val="00924A0D"/>
    <w:rsid w:val="0093573A"/>
    <w:rsid w:val="009432EE"/>
    <w:rsid w:val="00951ABD"/>
    <w:rsid w:val="0095679D"/>
    <w:rsid w:val="0096548B"/>
    <w:rsid w:val="0097199B"/>
    <w:rsid w:val="009811BC"/>
    <w:rsid w:val="00993B1F"/>
    <w:rsid w:val="009A44FE"/>
    <w:rsid w:val="009C6A60"/>
    <w:rsid w:val="009C70F6"/>
    <w:rsid w:val="009C79C9"/>
    <w:rsid w:val="009C7A4B"/>
    <w:rsid w:val="009D4FC0"/>
    <w:rsid w:val="009E675D"/>
    <w:rsid w:val="009E79CF"/>
    <w:rsid w:val="009F43D8"/>
    <w:rsid w:val="009F77B2"/>
    <w:rsid w:val="00A02CEB"/>
    <w:rsid w:val="00A0632B"/>
    <w:rsid w:val="00A13612"/>
    <w:rsid w:val="00A13691"/>
    <w:rsid w:val="00A149FC"/>
    <w:rsid w:val="00A212C5"/>
    <w:rsid w:val="00A23E65"/>
    <w:rsid w:val="00A24341"/>
    <w:rsid w:val="00A2624B"/>
    <w:rsid w:val="00A33C34"/>
    <w:rsid w:val="00A463CA"/>
    <w:rsid w:val="00A47CF9"/>
    <w:rsid w:val="00A57DD3"/>
    <w:rsid w:val="00A6077E"/>
    <w:rsid w:val="00A82151"/>
    <w:rsid w:val="00A85B20"/>
    <w:rsid w:val="00A930A4"/>
    <w:rsid w:val="00A95014"/>
    <w:rsid w:val="00A95CE5"/>
    <w:rsid w:val="00AC4CEF"/>
    <w:rsid w:val="00AC528F"/>
    <w:rsid w:val="00AD1F5B"/>
    <w:rsid w:val="00AD2D09"/>
    <w:rsid w:val="00AE3E63"/>
    <w:rsid w:val="00AE52EC"/>
    <w:rsid w:val="00AF6C36"/>
    <w:rsid w:val="00AF78E6"/>
    <w:rsid w:val="00B0265C"/>
    <w:rsid w:val="00B02CBC"/>
    <w:rsid w:val="00B037C1"/>
    <w:rsid w:val="00B153D2"/>
    <w:rsid w:val="00B21D0D"/>
    <w:rsid w:val="00B22ACB"/>
    <w:rsid w:val="00B306F8"/>
    <w:rsid w:val="00B3158E"/>
    <w:rsid w:val="00B36806"/>
    <w:rsid w:val="00B36B71"/>
    <w:rsid w:val="00B42D8D"/>
    <w:rsid w:val="00B45CDE"/>
    <w:rsid w:val="00B477EE"/>
    <w:rsid w:val="00B52156"/>
    <w:rsid w:val="00B65332"/>
    <w:rsid w:val="00B65664"/>
    <w:rsid w:val="00B91E72"/>
    <w:rsid w:val="00B95367"/>
    <w:rsid w:val="00BA02F3"/>
    <w:rsid w:val="00BA0690"/>
    <w:rsid w:val="00BA2FC0"/>
    <w:rsid w:val="00BA7F44"/>
    <w:rsid w:val="00BC246C"/>
    <w:rsid w:val="00BD1C8C"/>
    <w:rsid w:val="00BD27EB"/>
    <w:rsid w:val="00BD2CA7"/>
    <w:rsid w:val="00BD51D5"/>
    <w:rsid w:val="00BD5669"/>
    <w:rsid w:val="00BD7805"/>
    <w:rsid w:val="00BF24C9"/>
    <w:rsid w:val="00BF27A8"/>
    <w:rsid w:val="00BF3D5D"/>
    <w:rsid w:val="00BF41A0"/>
    <w:rsid w:val="00BF5EB7"/>
    <w:rsid w:val="00C0021E"/>
    <w:rsid w:val="00C0092D"/>
    <w:rsid w:val="00C0095E"/>
    <w:rsid w:val="00C04EF8"/>
    <w:rsid w:val="00C05969"/>
    <w:rsid w:val="00C05E0A"/>
    <w:rsid w:val="00C07042"/>
    <w:rsid w:val="00C1799D"/>
    <w:rsid w:val="00C22405"/>
    <w:rsid w:val="00C2707E"/>
    <w:rsid w:val="00C31038"/>
    <w:rsid w:val="00C31170"/>
    <w:rsid w:val="00C32AAD"/>
    <w:rsid w:val="00C44947"/>
    <w:rsid w:val="00C46AE8"/>
    <w:rsid w:val="00C5191D"/>
    <w:rsid w:val="00C5485C"/>
    <w:rsid w:val="00C61770"/>
    <w:rsid w:val="00C6246E"/>
    <w:rsid w:val="00C659CA"/>
    <w:rsid w:val="00C66200"/>
    <w:rsid w:val="00C71EF3"/>
    <w:rsid w:val="00C773F0"/>
    <w:rsid w:val="00C85E9A"/>
    <w:rsid w:val="00C92992"/>
    <w:rsid w:val="00C93C9D"/>
    <w:rsid w:val="00C95C7A"/>
    <w:rsid w:val="00CA024D"/>
    <w:rsid w:val="00CA61B8"/>
    <w:rsid w:val="00CB1B1F"/>
    <w:rsid w:val="00CB3644"/>
    <w:rsid w:val="00CC4DFE"/>
    <w:rsid w:val="00CC70BC"/>
    <w:rsid w:val="00D0350F"/>
    <w:rsid w:val="00D04AA2"/>
    <w:rsid w:val="00D13367"/>
    <w:rsid w:val="00D236A5"/>
    <w:rsid w:val="00D3396D"/>
    <w:rsid w:val="00D5044D"/>
    <w:rsid w:val="00D61A88"/>
    <w:rsid w:val="00D64840"/>
    <w:rsid w:val="00D65EC8"/>
    <w:rsid w:val="00D873DD"/>
    <w:rsid w:val="00D93C64"/>
    <w:rsid w:val="00D96935"/>
    <w:rsid w:val="00DB5240"/>
    <w:rsid w:val="00DB59BE"/>
    <w:rsid w:val="00DB7813"/>
    <w:rsid w:val="00DC27E3"/>
    <w:rsid w:val="00DD68D4"/>
    <w:rsid w:val="00DE7319"/>
    <w:rsid w:val="00DF0200"/>
    <w:rsid w:val="00DF68B0"/>
    <w:rsid w:val="00E05ACE"/>
    <w:rsid w:val="00E140EE"/>
    <w:rsid w:val="00E20121"/>
    <w:rsid w:val="00E2128C"/>
    <w:rsid w:val="00E23C59"/>
    <w:rsid w:val="00E23F6C"/>
    <w:rsid w:val="00E30014"/>
    <w:rsid w:val="00E359BB"/>
    <w:rsid w:val="00E3778D"/>
    <w:rsid w:val="00E45888"/>
    <w:rsid w:val="00E60C81"/>
    <w:rsid w:val="00E6290F"/>
    <w:rsid w:val="00E9349C"/>
    <w:rsid w:val="00E95D4E"/>
    <w:rsid w:val="00EA7DD2"/>
    <w:rsid w:val="00EC32AF"/>
    <w:rsid w:val="00ED5783"/>
    <w:rsid w:val="00ED73B4"/>
    <w:rsid w:val="00ED7822"/>
    <w:rsid w:val="00F12565"/>
    <w:rsid w:val="00F20312"/>
    <w:rsid w:val="00F26B68"/>
    <w:rsid w:val="00F327CE"/>
    <w:rsid w:val="00F36C6C"/>
    <w:rsid w:val="00F46B6F"/>
    <w:rsid w:val="00F56B56"/>
    <w:rsid w:val="00F57BFC"/>
    <w:rsid w:val="00F62690"/>
    <w:rsid w:val="00F65B99"/>
    <w:rsid w:val="00F86974"/>
    <w:rsid w:val="00FB523B"/>
    <w:rsid w:val="00FB5CCD"/>
    <w:rsid w:val="00FC29C0"/>
    <w:rsid w:val="00FC59BC"/>
    <w:rsid w:val="00FD2FD5"/>
    <w:rsid w:val="00FD7DAA"/>
    <w:rsid w:val="00FE4E05"/>
    <w:rsid w:val="00FF52AE"/>
    <w:rsid w:val="00FF60C1"/>
    <w:rsid w:val="00FF6B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9489A"/>
  <w15:chartTrackingRefBased/>
  <w15:docId w15:val="{E10D77D5-38DC-48A4-9DAC-AD497E8A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B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5B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2AF"/>
  </w:style>
  <w:style w:type="paragraph" w:styleId="Footer">
    <w:name w:val="footer"/>
    <w:basedOn w:val="Normal"/>
    <w:link w:val="FooterChar"/>
    <w:uiPriority w:val="99"/>
    <w:unhideWhenUsed/>
    <w:rsid w:val="00EC3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2AF"/>
  </w:style>
  <w:style w:type="character" w:styleId="Hyperlink">
    <w:name w:val="Hyperlink"/>
    <w:basedOn w:val="DefaultParagraphFont"/>
    <w:uiPriority w:val="99"/>
    <w:unhideWhenUsed/>
    <w:rsid w:val="009F77B2"/>
    <w:rPr>
      <w:color w:val="0000FF"/>
      <w:u w:val="single"/>
    </w:rPr>
  </w:style>
  <w:style w:type="paragraph" w:styleId="NormalWeb">
    <w:name w:val="Normal (Web)"/>
    <w:basedOn w:val="Normal"/>
    <w:uiPriority w:val="99"/>
    <w:unhideWhenUsed/>
    <w:rsid w:val="009F7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3158E"/>
    <w:pPr>
      <w:ind w:left="720"/>
      <w:contextualSpacing/>
    </w:pPr>
  </w:style>
  <w:style w:type="character" w:customStyle="1" w:styleId="UnresolvedMention1">
    <w:name w:val="Unresolved Mention1"/>
    <w:basedOn w:val="DefaultParagraphFont"/>
    <w:uiPriority w:val="99"/>
    <w:semiHidden/>
    <w:unhideWhenUsed/>
    <w:rsid w:val="00746CED"/>
    <w:rPr>
      <w:color w:val="605E5C"/>
      <w:shd w:val="clear" w:color="auto" w:fill="E1DFDD"/>
    </w:rPr>
  </w:style>
  <w:style w:type="character" w:styleId="CommentReference">
    <w:name w:val="annotation reference"/>
    <w:basedOn w:val="DefaultParagraphFont"/>
    <w:uiPriority w:val="99"/>
    <w:semiHidden/>
    <w:unhideWhenUsed/>
    <w:rsid w:val="00746CED"/>
    <w:rPr>
      <w:sz w:val="16"/>
      <w:szCs w:val="16"/>
    </w:rPr>
  </w:style>
  <w:style w:type="paragraph" w:styleId="CommentText">
    <w:name w:val="annotation text"/>
    <w:basedOn w:val="Normal"/>
    <w:link w:val="CommentTextChar"/>
    <w:uiPriority w:val="99"/>
    <w:semiHidden/>
    <w:unhideWhenUsed/>
    <w:rsid w:val="00746CED"/>
    <w:pPr>
      <w:spacing w:line="240" w:lineRule="auto"/>
    </w:pPr>
    <w:rPr>
      <w:sz w:val="20"/>
      <w:szCs w:val="20"/>
    </w:rPr>
  </w:style>
  <w:style w:type="character" w:customStyle="1" w:styleId="CommentTextChar">
    <w:name w:val="Comment Text Char"/>
    <w:basedOn w:val="DefaultParagraphFont"/>
    <w:link w:val="CommentText"/>
    <w:uiPriority w:val="99"/>
    <w:semiHidden/>
    <w:rsid w:val="00746CED"/>
    <w:rPr>
      <w:sz w:val="20"/>
      <w:szCs w:val="20"/>
    </w:rPr>
  </w:style>
  <w:style w:type="paragraph" w:styleId="CommentSubject">
    <w:name w:val="annotation subject"/>
    <w:basedOn w:val="CommentText"/>
    <w:next w:val="CommentText"/>
    <w:link w:val="CommentSubjectChar"/>
    <w:uiPriority w:val="99"/>
    <w:semiHidden/>
    <w:unhideWhenUsed/>
    <w:rsid w:val="00746CED"/>
    <w:rPr>
      <w:b/>
      <w:bCs/>
    </w:rPr>
  </w:style>
  <w:style w:type="character" w:customStyle="1" w:styleId="CommentSubjectChar">
    <w:name w:val="Comment Subject Char"/>
    <w:basedOn w:val="CommentTextChar"/>
    <w:link w:val="CommentSubject"/>
    <w:uiPriority w:val="99"/>
    <w:semiHidden/>
    <w:rsid w:val="00746CED"/>
    <w:rPr>
      <w:b/>
      <w:bCs/>
      <w:sz w:val="20"/>
      <w:szCs w:val="20"/>
    </w:rPr>
  </w:style>
  <w:style w:type="paragraph" w:styleId="BalloonText">
    <w:name w:val="Balloon Text"/>
    <w:basedOn w:val="Normal"/>
    <w:link w:val="BalloonTextChar"/>
    <w:uiPriority w:val="99"/>
    <w:semiHidden/>
    <w:unhideWhenUsed/>
    <w:rsid w:val="00746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CED"/>
    <w:rPr>
      <w:rFonts w:ascii="Segoe UI" w:hAnsi="Segoe UI" w:cs="Segoe UI"/>
      <w:sz w:val="18"/>
      <w:szCs w:val="18"/>
    </w:rPr>
  </w:style>
  <w:style w:type="character" w:styleId="PlaceholderText">
    <w:name w:val="Placeholder Text"/>
    <w:basedOn w:val="DefaultParagraphFont"/>
    <w:uiPriority w:val="99"/>
    <w:semiHidden/>
    <w:rsid w:val="00C32AAD"/>
    <w:rPr>
      <w:color w:val="808080"/>
    </w:rPr>
  </w:style>
  <w:style w:type="table" w:styleId="TableGrid">
    <w:name w:val="Table Grid"/>
    <w:basedOn w:val="TableNormal"/>
    <w:uiPriority w:val="39"/>
    <w:rsid w:val="00C17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4749"/>
    <w:pPr>
      <w:spacing w:after="0" w:line="240" w:lineRule="auto"/>
    </w:pPr>
  </w:style>
  <w:style w:type="character" w:customStyle="1" w:styleId="Heading1Char">
    <w:name w:val="Heading 1 Char"/>
    <w:basedOn w:val="DefaultParagraphFont"/>
    <w:link w:val="Heading1"/>
    <w:uiPriority w:val="9"/>
    <w:rsid w:val="002C5B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5BC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2C5BCE"/>
    <w:pPr>
      <w:outlineLvl w:val="9"/>
    </w:pPr>
    <w:rPr>
      <w:lang w:val="en-US"/>
    </w:rPr>
  </w:style>
  <w:style w:type="paragraph" w:styleId="TOC1">
    <w:name w:val="toc 1"/>
    <w:basedOn w:val="Normal"/>
    <w:next w:val="Normal"/>
    <w:autoRedefine/>
    <w:uiPriority w:val="39"/>
    <w:unhideWhenUsed/>
    <w:rsid w:val="002C5BCE"/>
    <w:pPr>
      <w:spacing w:after="100"/>
    </w:pPr>
  </w:style>
  <w:style w:type="paragraph" w:styleId="TOC2">
    <w:name w:val="toc 2"/>
    <w:basedOn w:val="Normal"/>
    <w:next w:val="Normal"/>
    <w:autoRedefine/>
    <w:uiPriority w:val="39"/>
    <w:unhideWhenUsed/>
    <w:rsid w:val="002C5BCE"/>
    <w:pPr>
      <w:spacing w:after="100"/>
      <w:ind w:left="220"/>
    </w:pPr>
  </w:style>
  <w:style w:type="character" w:styleId="FollowedHyperlink">
    <w:name w:val="FollowedHyperlink"/>
    <w:basedOn w:val="DefaultParagraphFont"/>
    <w:uiPriority w:val="99"/>
    <w:semiHidden/>
    <w:unhideWhenUsed/>
    <w:rsid w:val="002C5B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7840">
      <w:bodyDiv w:val="1"/>
      <w:marLeft w:val="0"/>
      <w:marRight w:val="0"/>
      <w:marTop w:val="0"/>
      <w:marBottom w:val="0"/>
      <w:divBdr>
        <w:top w:val="none" w:sz="0" w:space="0" w:color="auto"/>
        <w:left w:val="none" w:sz="0" w:space="0" w:color="auto"/>
        <w:bottom w:val="none" w:sz="0" w:space="0" w:color="auto"/>
        <w:right w:val="none" w:sz="0" w:space="0" w:color="auto"/>
      </w:divBdr>
    </w:div>
    <w:div w:id="204097598">
      <w:bodyDiv w:val="1"/>
      <w:marLeft w:val="0"/>
      <w:marRight w:val="0"/>
      <w:marTop w:val="0"/>
      <w:marBottom w:val="0"/>
      <w:divBdr>
        <w:top w:val="none" w:sz="0" w:space="0" w:color="auto"/>
        <w:left w:val="none" w:sz="0" w:space="0" w:color="auto"/>
        <w:bottom w:val="none" w:sz="0" w:space="0" w:color="auto"/>
        <w:right w:val="none" w:sz="0" w:space="0" w:color="auto"/>
      </w:divBdr>
    </w:div>
    <w:div w:id="220290487">
      <w:bodyDiv w:val="1"/>
      <w:marLeft w:val="0"/>
      <w:marRight w:val="0"/>
      <w:marTop w:val="0"/>
      <w:marBottom w:val="0"/>
      <w:divBdr>
        <w:top w:val="none" w:sz="0" w:space="0" w:color="auto"/>
        <w:left w:val="none" w:sz="0" w:space="0" w:color="auto"/>
        <w:bottom w:val="none" w:sz="0" w:space="0" w:color="auto"/>
        <w:right w:val="none" w:sz="0" w:space="0" w:color="auto"/>
      </w:divBdr>
    </w:div>
    <w:div w:id="237205192">
      <w:bodyDiv w:val="1"/>
      <w:marLeft w:val="0"/>
      <w:marRight w:val="0"/>
      <w:marTop w:val="0"/>
      <w:marBottom w:val="0"/>
      <w:divBdr>
        <w:top w:val="none" w:sz="0" w:space="0" w:color="auto"/>
        <w:left w:val="none" w:sz="0" w:space="0" w:color="auto"/>
        <w:bottom w:val="none" w:sz="0" w:space="0" w:color="auto"/>
        <w:right w:val="none" w:sz="0" w:space="0" w:color="auto"/>
      </w:divBdr>
      <w:divsChild>
        <w:div w:id="726102484">
          <w:marLeft w:val="0"/>
          <w:marRight w:val="0"/>
          <w:marTop w:val="0"/>
          <w:marBottom w:val="0"/>
          <w:divBdr>
            <w:top w:val="none" w:sz="0" w:space="0" w:color="auto"/>
            <w:left w:val="none" w:sz="0" w:space="0" w:color="auto"/>
            <w:bottom w:val="none" w:sz="0" w:space="0" w:color="auto"/>
            <w:right w:val="none" w:sz="0" w:space="0" w:color="auto"/>
          </w:divBdr>
        </w:div>
      </w:divsChild>
    </w:div>
    <w:div w:id="313877609">
      <w:bodyDiv w:val="1"/>
      <w:marLeft w:val="0"/>
      <w:marRight w:val="0"/>
      <w:marTop w:val="0"/>
      <w:marBottom w:val="0"/>
      <w:divBdr>
        <w:top w:val="none" w:sz="0" w:space="0" w:color="auto"/>
        <w:left w:val="none" w:sz="0" w:space="0" w:color="auto"/>
        <w:bottom w:val="none" w:sz="0" w:space="0" w:color="auto"/>
        <w:right w:val="none" w:sz="0" w:space="0" w:color="auto"/>
      </w:divBdr>
    </w:div>
    <w:div w:id="434443156">
      <w:bodyDiv w:val="1"/>
      <w:marLeft w:val="0"/>
      <w:marRight w:val="0"/>
      <w:marTop w:val="0"/>
      <w:marBottom w:val="0"/>
      <w:divBdr>
        <w:top w:val="none" w:sz="0" w:space="0" w:color="auto"/>
        <w:left w:val="none" w:sz="0" w:space="0" w:color="auto"/>
        <w:bottom w:val="none" w:sz="0" w:space="0" w:color="auto"/>
        <w:right w:val="none" w:sz="0" w:space="0" w:color="auto"/>
      </w:divBdr>
    </w:div>
    <w:div w:id="684332978">
      <w:bodyDiv w:val="1"/>
      <w:marLeft w:val="0"/>
      <w:marRight w:val="0"/>
      <w:marTop w:val="0"/>
      <w:marBottom w:val="0"/>
      <w:divBdr>
        <w:top w:val="none" w:sz="0" w:space="0" w:color="auto"/>
        <w:left w:val="none" w:sz="0" w:space="0" w:color="auto"/>
        <w:bottom w:val="none" w:sz="0" w:space="0" w:color="auto"/>
        <w:right w:val="none" w:sz="0" w:space="0" w:color="auto"/>
      </w:divBdr>
    </w:div>
    <w:div w:id="696858808">
      <w:bodyDiv w:val="1"/>
      <w:marLeft w:val="0"/>
      <w:marRight w:val="0"/>
      <w:marTop w:val="0"/>
      <w:marBottom w:val="0"/>
      <w:divBdr>
        <w:top w:val="none" w:sz="0" w:space="0" w:color="auto"/>
        <w:left w:val="none" w:sz="0" w:space="0" w:color="auto"/>
        <w:bottom w:val="none" w:sz="0" w:space="0" w:color="auto"/>
        <w:right w:val="none" w:sz="0" w:space="0" w:color="auto"/>
      </w:divBdr>
    </w:div>
    <w:div w:id="962469179">
      <w:bodyDiv w:val="1"/>
      <w:marLeft w:val="0"/>
      <w:marRight w:val="0"/>
      <w:marTop w:val="0"/>
      <w:marBottom w:val="0"/>
      <w:divBdr>
        <w:top w:val="none" w:sz="0" w:space="0" w:color="auto"/>
        <w:left w:val="none" w:sz="0" w:space="0" w:color="auto"/>
        <w:bottom w:val="none" w:sz="0" w:space="0" w:color="auto"/>
        <w:right w:val="none" w:sz="0" w:space="0" w:color="auto"/>
      </w:divBdr>
    </w:div>
    <w:div w:id="1012612302">
      <w:bodyDiv w:val="1"/>
      <w:marLeft w:val="0"/>
      <w:marRight w:val="0"/>
      <w:marTop w:val="0"/>
      <w:marBottom w:val="0"/>
      <w:divBdr>
        <w:top w:val="none" w:sz="0" w:space="0" w:color="auto"/>
        <w:left w:val="none" w:sz="0" w:space="0" w:color="auto"/>
        <w:bottom w:val="none" w:sz="0" w:space="0" w:color="auto"/>
        <w:right w:val="none" w:sz="0" w:space="0" w:color="auto"/>
      </w:divBdr>
    </w:div>
    <w:div w:id="1693922047">
      <w:bodyDiv w:val="1"/>
      <w:marLeft w:val="0"/>
      <w:marRight w:val="0"/>
      <w:marTop w:val="0"/>
      <w:marBottom w:val="0"/>
      <w:divBdr>
        <w:top w:val="none" w:sz="0" w:space="0" w:color="auto"/>
        <w:left w:val="none" w:sz="0" w:space="0" w:color="auto"/>
        <w:bottom w:val="none" w:sz="0" w:space="0" w:color="auto"/>
        <w:right w:val="none" w:sz="0" w:space="0" w:color="auto"/>
      </w:divBdr>
    </w:div>
    <w:div w:id="17177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ent.ac.uk/education/documents/credit-framework/credit-framework-annex-6.docx" TargetMode="External"/><Relationship Id="rId18" Type="http://schemas.openxmlformats.org/officeDocument/2006/relationships/hyperlink" Target="https://www.kent.ac.uk/education/documents/credit-framework/credit-framework-annex-9.docx" TargetMode="External"/><Relationship Id="rId26" Type="http://schemas.openxmlformats.org/officeDocument/2006/relationships/image" Target="media/image3.emf"/><Relationship Id="rId39" Type="http://schemas.openxmlformats.org/officeDocument/2006/relationships/customXml" Target="../customXml/item2.xml"/><Relationship Id="rId21" Type="http://schemas.openxmlformats.org/officeDocument/2006/relationships/hyperlink" Target="https://www.kent.ac.uk/education/regulatory-framework/codes-of-practice-for-taught-courses" TargetMode="External"/><Relationship Id="rId34" Type="http://schemas.openxmlformats.org/officeDocument/2006/relationships/image" Target="media/image1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qaa.ac.uk/quality-code/qualifications-and-credit-frameworks" TargetMode="External"/><Relationship Id="rId20" Type="http://schemas.openxmlformats.org/officeDocument/2006/relationships/hyperlink" Target="https://www.kent.ac.uk/education/documents/regulations-taught/academic-regulations-for-taught-courses.docx" TargetMode="External"/><Relationship Id="rId29" Type="http://schemas.openxmlformats.org/officeDocument/2006/relationships/image" Target="media/image6.emf"/><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scqa.org.uk/what-we-do/degree-standards/" TargetMode="External"/><Relationship Id="rId24" Type="http://schemas.openxmlformats.org/officeDocument/2006/relationships/header" Target="header1.xml"/><Relationship Id="rId32" Type="http://schemas.openxmlformats.org/officeDocument/2006/relationships/image" Target="media/image9.emf"/><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kent.ac.uk/education/documents/code-of-practice-taught/code-of-practice-taught-annex-j.docx" TargetMode="External"/><Relationship Id="rId23" Type="http://schemas.openxmlformats.org/officeDocument/2006/relationships/hyperlink" Target="https://www.kent.ac.uk/education/documents/credit-framework/credit-framework.docx" TargetMode="External"/><Relationship Id="rId28" Type="http://schemas.openxmlformats.org/officeDocument/2006/relationships/image" Target="media/image5.emf"/><Relationship Id="rId36" Type="http://schemas.openxmlformats.org/officeDocument/2006/relationships/header" Target="header2.xml"/><Relationship Id="rId10" Type="http://schemas.openxmlformats.org/officeDocument/2006/relationships/hyperlink" Target="https://www.qaa.ac.uk/quality-code/subject-benchmark-statements" TargetMode="External"/><Relationship Id="rId19" Type="http://schemas.openxmlformats.org/officeDocument/2006/relationships/hyperlink" Target="https://www.kent.ac.uk/education/documents/credit-framework/credit-framework-annex-13.docx" TargetMode="External"/><Relationship Id="rId31"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s://www.qaa.ac.uk/the-quality-code" TargetMode="External"/><Relationship Id="rId14" Type="http://schemas.openxmlformats.org/officeDocument/2006/relationships/hyperlink" Target="https://www.kent.ac.uk/education/documents/code-of-practice-taught/code-of-practice-taught-annex-j.docx" TargetMode="External"/><Relationship Id="rId22" Type="http://schemas.openxmlformats.org/officeDocument/2006/relationships/hyperlink" Target="https://www.kent.ac.uk/education/regulatory-framework/credit-framework" TargetMode="Externa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image" Target="media/image12.emf"/><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kent.ac.uk/education/documents/credit-framework/credit-framework-annex-6.docx" TargetMode="External"/><Relationship Id="rId17" Type="http://schemas.openxmlformats.org/officeDocument/2006/relationships/hyperlink" Target="https://www.kent.ac.uk/education/documents/code-of-practice-taught/code-of-practice-taught-annex-k.docx" TargetMode="External"/><Relationship Id="rId25" Type="http://schemas.openxmlformats.org/officeDocument/2006/relationships/footer" Target="footer1.xml"/><Relationship Id="rId33" Type="http://schemas.openxmlformats.org/officeDocument/2006/relationships/image" Target="media/image10.emf"/><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1C5BB267DB0647B93576F72672141C" ma:contentTypeVersion="4" ma:contentTypeDescription="Create a new document." ma:contentTypeScope="" ma:versionID="7db435ed6dceb51a84bf72d9da41bc9a">
  <xsd:schema xmlns:xsd="http://www.w3.org/2001/XMLSchema" xmlns:xs="http://www.w3.org/2001/XMLSchema" xmlns:p="http://schemas.microsoft.com/office/2006/metadata/properties" xmlns:ns2="6a158a4f-64a2-4501-882f-6cc3d6afdcea" targetNamespace="http://schemas.microsoft.com/office/2006/metadata/properties" ma:root="true" ma:fieldsID="980eb30664a4e96af1fe78384ff7d375" ns2:_="">
    <xsd:import namespace="6a158a4f-64a2-4501-882f-6cc3d6afdc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58a4f-64a2-4501-882f-6cc3d6afd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452EE-BC11-40F5-B227-541F24C851BE}">
  <ds:schemaRefs>
    <ds:schemaRef ds:uri="http://schemas.openxmlformats.org/officeDocument/2006/bibliography"/>
  </ds:schemaRefs>
</ds:datastoreItem>
</file>

<file path=customXml/itemProps2.xml><?xml version="1.0" encoding="utf-8"?>
<ds:datastoreItem xmlns:ds="http://schemas.openxmlformats.org/officeDocument/2006/customXml" ds:itemID="{C255F6FD-1BB3-4759-8CA7-06FF6E1F4A57}"/>
</file>

<file path=customXml/itemProps3.xml><?xml version="1.0" encoding="utf-8"?>
<ds:datastoreItem xmlns:ds="http://schemas.openxmlformats.org/officeDocument/2006/customXml" ds:itemID="{D656871F-6315-4141-BF09-EDF81E10ADD5}"/>
</file>

<file path=customXml/itemProps4.xml><?xml version="1.0" encoding="utf-8"?>
<ds:datastoreItem xmlns:ds="http://schemas.openxmlformats.org/officeDocument/2006/customXml" ds:itemID="{42E81337-0167-4482-920A-24300FB102BA}"/>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Nacyte</dc:creator>
  <cp:keywords/>
  <dc:description/>
  <cp:lastModifiedBy>Daiva Nacyte</cp:lastModifiedBy>
  <cp:revision>2</cp:revision>
  <cp:lastPrinted>2020-12-08T14:52:00Z</cp:lastPrinted>
  <dcterms:created xsi:type="dcterms:W3CDTF">2023-05-04T10:42:00Z</dcterms:created>
  <dcterms:modified xsi:type="dcterms:W3CDTF">2023-05-04T10:42:00Z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0x010100151C5BB267DB0647B93576F72672141C</vt:lpwstr>
  </property>
</Properties>
</file>