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93" w:rsidR="00170093" w:rsidP="00170093" w:rsidRDefault="00170093" w14:paraId="7D89D8D8" w14:textId="7F741483">
      <w:pPr>
        <w:pStyle w:val="Title"/>
        <w:ind w:left="0" w:firstLine="0"/>
      </w:pPr>
      <w:r w:rsidRPr="00CB6F36">
        <w:rPr>
          <w:rFonts w:eastAsia="Times New Roman" w:cs="Arial"/>
          <w:kern w:val="36"/>
          <w:sz w:val="28"/>
          <w:szCs w:val="28"/>
        </w:rPr>
        <w:t>Statement</w:t>
      </w:r>
      <w:r w:rsidRPr="004509AE">
        <w:rPr>
          <w:rFonts w:eastAsia="Times New Roman" w:cs="Arial"/>
          <w:kern w:val="36"/>
          <w:sz w:val="28"/>
          <w:szCs w:val="28"/>
        </w:rPr>
        <w:t xml:space="preserve"> </w:t>
      </w:r>
      <w:r w:rsidRPr="00CB6F36">
        <w:rPr>
          <w:rFonts w:eastAsia="Times New Roman" w:cs="Arial"/>
          <w:kern w:val="36"/>
          <w:sz w:val="28"/>
          <w:szCs w:val="28"/>
        </w:rPr>
        <w:t>of Compatibility with the European Higher Education Area</w:t>
      </w:r>
    </w:p>
    <w:p w:rsidR="00DC7EB2" w:rsidP="00DC7EB2" w:rsidRDefault="00DC7EB2" w14:paraId="242CC118" w14:textId="77777777"/>
    <w:p w:rsidR="00DC7EB2" w:rsidP="00DC7EB2" w:rsidRDefault="00DC7EB2" w14:paraId="63F8696B" w14:textId="77777777">
      <w:pPr>
        <w:pStyle w:val="Subtitle"/>
      </w:pPr>
      <w:r>
        <w:t xml:space="preserve">Contents </w:t>
      </w:r>
    </w:p>
    <w:p w:rsidR="00B931D7" w:rsidP="00B931D7" w:rsidRDefault="00DC7EB2" w14:paraId="48B20837" w14:textId="53115F9B">
      <w:pPr>
        <w:pStyle w:val="TOC1"/>
        <w:rPr>
          <w:rFonts w:asciiTheme="minorHAnsi" w:hAnsiTheme="minorHAnsi" w:eastAsiaTheme="minorEastAsia" w:cstheme="minorBidi"/>
          <w:noProof/>
          <w:color w:val="auto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92795655">
        <w:r w:rsidRPr="00847354" w:rsidR="00B931D7">
          <w:rPr>
            <w:rStyle w:val="Hyperlink"/>
            <w:bCs/>
            <w:noProof/>
            <w:u w:color="000000"/>
          </w:rPr>
          <w:t>1.</w:t>
        </w:r>
        <w:r w:rsidR="00B931D7">
          <w:rPr>
            <w:rFonts w:asciiTheme="minorHAnsi" w:hAnsiTheme="minorHAnsi" w:eastAsiaTheme="minorEastAsia" w:cstheme="minorBidi"/>
            <w:noProof/>
            <w:color w:val="auto"/>
            <w:sz w:val="22"/>
          </w:rPr>
          <w:tab/>
        </w:r>
        <w:r w:rsidRPr="00847354" w:rsidR="00B931D7">
          <w:rPr>
            <w:rStyle w:val="Hyperlink"/>
            <w:noProof/>
          </w:rPr>
          <w:t>Introduction</w:t>
        </w:r>
        <w:r w:rsidR="00B931D7">
          <w:rPr>
            <w:noProof/>
            <w:webHidden/>
          </w:rPr>
          <w:tab/>
        </w:r>
        <w:r w:rsidR="00B931D7">
          <w:rPr>
            <w:noProof/>
            <w:webHidden/>
          </w:rPr>
          <w:fldChar w:fldCharType="begin"/>
        </w:r>
        <w:r w:rsidR="00B931D7">
          <w:rPr>
            <w:noProof/>
            <w:webHidden/>
          </w:rPr>
          <w:instrText xml:space="preserve"> PAGEREF _Toc92795655 \h </w:instrText>
        </w:r>
        <w:r w:rsidR="00B931D7">
          <w:rPr>
            <w:noProof/>
            <w:webHidden/>
          </w:rPr>
        </w:r>
        <w:r w:rsidR="00B931D7">
          <w:rPr>
            <w:noProof/>
            <w:webHidden/>
          </w:rPr>
          <w:fldChar w:fldCharType="separate"/>
        </w:r>
        <w:r w:rsidR="00743360">
          <w:rPr>
            <w:noProof/>
            <w:webHidden/>
          </w:rPr>
          <w:t>2</w:t>
        </w:r>
        <w:r w:rsidR="00B931D7">
          <w:rPr>
            <w:noProof/>
            <w:webHidden/>
          </w:rPr>
          <w:fldChar w:fldCharType="end"/>
        </w:r>
      </w:hyperlink>
    </w:p>
    <w:p w:rsidR="00B931D7" w:rsidP="00B931D7" w:rsidRDefault="00000000" w14:paraId="70F21120" w14:textId="580A6AB2">
      <w:pPr>
        <w:pStyle w:val="TOC1"/>
        <w:rPr>
          <w:rFonts w:asciiTheme="minorHAnsi" w:hAnsiTheme="minorHAnsi" w:eastAsiaTheme="minorEastAsia" w:cstheme="minorBidi"/>
          <w:noProof/>
          <w:color w:val="auto"/>
          <w:sz w:val="22"/>
        </w:rPr>
      </w:pPr>
      <w:hyperlink w:history="1" w:anchor="_Toc92795656">
        <w:r w:rsidRPr="00847354" w:rsidR="00B931D7">
          <w:rPr>
            <w:rStyle w:val="Hyperlink"/>
            <w:bCs/>
            <w:noProof/>
            <w:u w:color="000000"/>
          </w:rPr>
          <w:t>2.</w:t>
        </w:r>
        <w:r w:rsidR="00B931D7">
          <w:rPr>
            <w:rFonts w:asciiTheme="minorHAnsi" w:hAnsiTheme="minorHAnsi" w:eastAsiaTheme="minorEastAsia" w:cstheme="minorBidi"/>
            <w:noProof/>
            <w:color w:val="auto"/>
            <w:sz w:val="22"/>
          </w:rPr>
          <w:tab/>
        </w:r>
        <w:r w:rsidRPr="00847354" w:rsidR="00B931D7">
          <w:rPr>
            <w:rStyle w:val="Hyperlink"/>
            <w:noProof/>
          </w:rPr>
          <w:t>The framework of qualifications for the European Higher Education Area</w:t>
        </w:r>
        <w:r w:rsidR="00B931D7">
          <w:rPr>
            <w:noProof/>
            <w:webHidden/>
          </w:rPr>
          <w:tab/>
        </w:r>
        <w:r w:rsidR="00B931D7">
          <w:rPr>
            <w:noProof/>
            <w:webHidden/>
          </w:rPr>
          <w:fldChar w:fldCharType="begin"/>
        </w:r>
        <w:r w:rsidR="00B931D7">
          <w:rPr>
            <w:noProof/>
            <w:webHidden/>
          </w:rPr>
          <w:instrText xml:space="preserve"> PAGEREF _Toc92795656 \h </w:instrText>
        </w:r>
        <w:r w:rsidR="00B931D7">
          <w:rPr>
            <w:noProof/>
            <w:webHidden/>
          </w:rPr>
        </w:r>
        <w:r w:rsidR="00B931D7">
          <w:rPr>
            <w:noProof/>
            <w:webHidden/>
          </w:rPr>
          <w:fldChar w:fldCharType="separate"/>
        </w:r>
        <w:r w:rsidR="00743360">
          <w:rPr>
            <w:noProof/>
            <w:webHidden/>
          </w:rPr>
          <w:t>2</w:t>
        </w:r>
        <w:r w:rsidR="00B931D7">
          <w:rPr>
            <w:noProof/>
            <w:webHidden/>
          </w:rPr>
          <w:fldChar w:fldCharType="end"/>
        </w:r>
      </w:hyperlink>
    </w:p>
    <w:p w:rsidR="00B931D7" w:rsidP="00B931D7" w:rsidRDefault="00000000" w14:paraId="1187EF17" w14:textId="37A02138">
      <w:pPr>
        <w:pStyle w:val="TOC2"/>
        <w:tabs>
          <w:tab w:val="right" w:leader="dot" w:pos="9016"/>
        </w:tabs>
        <w:ind w:left="567" w:hanging="567"/>
        <w:rPr>
          <w:rFonts w:asciiTheme="minorHAnsi" w:hAnsiTheme="minorHAnsi" w:eastAsiaTheme="minorEastAsia" w:cstheme="minorBidi"/>
          <w:noProof/>
          <w:color w:val="auto"/>
          <w:sz w:val="22"/>
        </w:rPr>
      </w:pPr>
      <w:hyperlink w:history="1" w:anchor="_Toc92795657">
        <w:r w:rsidRPr="00847354" w:rsidR="00B931D7">
          <w:rPr>
            <w:rStyle w:val="Hyperlink"/>
            <w:noProof/>
          </w:rPr>
          <w:t>2.1</w:t>
        </w:r>
        <w:r w:rsidR="00B931D7">
          <w:rPr>
            <w:rFonts w:asciiTheme="minorHAnsi" w:hAnsiTheme="minorHAnsi" w:eastAsiaTheme="minorEastAsia" w:cstheme="minorBidi"/>
            <w:noProof/>
            <w:color w:val="auto"/>
            <w:sz w:val="22"/>
          </w:rPr>
          <w:tab/>
        </w:r>
        <w:r w:rsidRPr="00847354" w:rsidR="00B931D7">
          <w:rPr>
            <w:rStyle w:val="Hyperlink"/>
            <w:noProof/>
          </w:rPr>
          <w:t>First Cycle Qualifications</w:t>
        </w:r>
        <w:r w:rsidR="00B931D7">
          <w:rPr>
            <w:noProof/>
            <w:webHidden/>
          </w:rPr>
          <w:tab/>
        </w:r>
        <w:r w:rsidR="00B931D7">
          <w:rPr>
            <w:noProof/>
            <w:webHidden/>
          </w:rPr>
          <w:fldChar w:fldCharType="begin"/>
        </w:r>
        <w:r w:rsidR="00B931D7">
          <w:rPr>
            <w:noProof/>
            <w:webHidden/>
          </w:rPr>
          <w:instrText xml:space="preserve"> PAGEREF _Toc92795657 \h </w:instrText>
        </w:r>
        <w:r w:rsidR="00B931D7">
          <w:rPr>
            <w:noProof/>
            <w:webHidden/>
          </w:rPr>
        </w:r>
        <w:r w:rsidR="00B931D7">
          <w:rPr>
            <w:noProof/>
            <w:webHidden/>
          </w:rPr>
          <w:fldChar w:fldCharType="separate"/>
        </w:r>
        <w:r w:rsidR="00743360">
          <w:rPr>
            <w:noProof/>
            <w:webHidden/>
          </w:rPr>
          <w:t>2</w:t>
        </w:r>
        <w:r w:rsidR="00B931D7">
          <w:rPr>
            <w:noProof/>
            <w:webHidden/>
          </w:rPr>
          <w:fldChar w:fldCharType="end"/>
        </w:r>
      </w:hyperlink>
    </w:p>
    <w:p w:rsidR="00B931D7" w:rsidP="00B931D7" w:rsidRDefault="00000000" w14:paraId="26EBFF94" w14:textId="159AE79D">
      <w:pPr>
        <w:pStyle w:val="TOC2"/>
        <w:tabs>
          <w:tab w:val="right" w:leader="dot" w:pos="9016"/>
        </w:tabs>
        <w:ind w:left="567" w:hanging="567"/>
        <w:rPr>
          <w:rFonts w:asciiTheme="minorHAnsi" w:hAnsiTheme="minorHAnsi" w:eastAsiaTheme="minorEastAsia" w:cstheme="minorBidi"/>
          <w:noProof/>
          <w:color w:val="auto"/>
          <w:sz w:val="22"/>
        </w:rPr>
      </w:pPr>
      <w:hyperlink w:history="1" w:anchor="_Toc92795658">
        <w:r w:rsidRPr="00847354" w:rsidR="00B931D7">
          <w:rPr>
            <w:rStyle w:val="Hyperlink"/>
            <w:noProof/>
          </w:rPr>
          <w:t>2.2</w:t>
        </w:r>
        <w:r w:rsidR="00B931D7">
          <w:rPr>
            <w:rFonts w:asciiTheme="minorHAnsi" w:hAnsiTheme="minorHAnsi" w:eastAsiaTheme="minorEastAsia" w:cstheme="minorBidi"/>
            <w:noProof/>
            <w:color w:val="auto"/>
            <w:sz w:val="22"/>
          </w:rPr>
          <w:tab/>
        </w:r>
        <w:r w:rsidRPr="00847354" w:rsidR="00B931D7">
          <w:rPr>
            <w:rStyle w:val="Hyperlink"/>
            <w:noProof/>
          </w:rPr>
          <w:t>Second Cycle Qualifications</w:t>
        </w:r>
        <w:r w:rsidR="00B931D7">
          <w:rPr>
            <w:noProof/>
            <w:webHidden/>
          </w:rPr>
          <w:tab/>
        </w:r>
        <w:r w:rsidR="00B931D7">
          <w:rPr>
            <w:noProof/>
            <w:webHidden/>
          </w:rPr>
          <w:fldChar w:fldCharType="begin"/>
        </w:r>
        <w:r w:rsidR="00B931D7">
          <w:rPr>
            <w:noProof/>
            <w:webHidden/>
          </w:rPr>
          <w:instrText xml:space="preserve"> PAGEREF _Toc92795658 \h </w:instrText>
        </w:r>
        <w:r w:rsidR="00B931D7">
          <w:rPr>
            <w:noProof/>
            <w:webHidden/>
          </w:rPr>
        </w:r>
        <w:r w:rsidR="00B931D7">
          <w:rPr>
            <w:noProof/>
            <w:webHidden/>
          </w:rPr>
          <w:fldChar w:fldCharType="separate"/>
        </w:r>
        <w:r w:rsidR="00743360">
          <w:rPr>
            <w:noProof/>
            <w:webHidden/>
          </w:rPr>
          <w:t>2</w:t>
        </w:r>
        <w:r w:rsidR="00B931D7">
          <w:rPr>
            <w:noProof/>
            <w:webHidden/>
          </w:rPr>
          <w:fldChar w:fldCharType="end"/>
        </w:r>
      </w:hyperlink>
    </w:p>
    <w:p w:rsidR="00B931D7" w:rsidP="00B931D7" w:rsidRDefault="00000000" w14:paraId="46B88969" w14:textId="40445CB0">
      <w:pPr>
        <w:pStyle w:val="TOC2"/>
        <w:tabs>
          <w:tab w:val="right" w:leader="dot" w:pos="9016"/>
        </w:tabs>
        <w:ind w:left="567" w:hanging="567"/>
        <w:rPr>
          <w:rFonts w:asciiTheme="minorHAnsi" w:hAnsiTheme="minorHAnsi" w:eastAsiaTheme="minorEastAsia" w:cstheme="minorBidi"/>
          <w:noProof/>
          <w:color w:val="auto"/>
          <w:sz w:val="22"/>
        </w:rPr>
      </w:pPr>
      <w:hyperlink w:history="1" w:anchor="_Toc92795659">
        <w:r w:rsidRPr="00847354" w:rsidR="00B931D7">
          <w:rPr>
            <w:rStyle w:val="Hyperlink"/>
            <w:noProof/>
          </w:rPr>
          <w:t>2.3</w:t>
        </w:r>
        <w:r w:rsidR="00B931D7">
          <w:rPr>
            <w:rFonts w:asciiTheme="minorHAnsi" w:hAnsiTheme="minorHAnsi" w:eastAsiaTheme="minorEastAsia" w:cstheme="minorBidi"/>
            <w:noProof/>
            <w:color w:val="auto"/>
            <w:sz w:val="22"/>
          </w:rPr>
          <w:tab/>
        </w:r>
        <w:r w:rsidRPr="00847354" w:rsidR="00B931D7">
          <w:rPr>
            <w:rStyle w:val="Hyperlink"/>
            <w:noProof/>
          </w:rPr>
          <w:t>Third Cycle Qualifications</w:t>
        </w:r>
        <w:r w:rsidR="00B931D7">
          <w:rPr>
            <w:noProof/>
            <w:webHidden/>
          </w:rPr>
          <w:tab/>
        </w:r>
        <w:r w:rsidR="00B931D7">
          <w:rPr>
            <w:noProof/>
            <w:webHidden/>
          </w:rPr>
          <w:fldChar w:fldCharType="begin"/>
        </w:r>
        <w:r w:rsidR="00B931D7">
          <w:rPr>
            <w:noProof/>
            <w:webHidden/>
          </w:rPr>
          <w:instrText xml:space="preserve"> PAGEREF _Toc92795659 \h </w:instrText>
        </w:r>
        <w:r w:rsidR="00B931D7">
          <w:rPr>
            <w:noProof/>
            <w:webHidden/>
          </w:rPr>
        </w:r>
        <w:r w:rsidR="00B931D7">
          <w:rPr>
            <w:noProof/>
            <w:webHidden/>
          </w:rPr>
          <w:fldChar w:fldCharType="separate"/>
        </w:r>
        <w:r w:rsidR="00743360">
          <w:rPr>
            <w:noProof/>
            <w:webHidden/>
          </w:rPr>
          <w:t>3</w:t>
        </w:r>
        <w:r w:rsidR="00B931D7">
          <w:rPr>
            <w:noProof/>
            <w:webHidden/>
          </w:rPr>
          <w:fldChar w:fldCharType="end"/>
        </w:r>
      </w:hyperlink>
    </w:p>
    <w:p w:rsidR="00DC7EB2" w:rsidP="00DC7EB2" w:rsidRDefault="00DC7EB2" w14:paraId="3397D4B3" w14:textId="5E323F44">
      <w:pPr>
        <w:ind w:left="709" w:hanging="709"/>
      </w:pPr>
      <w:r>
        <w:fldChar w:fldCharType="end"/>
      </w:r>
    </w:p>
    <w:p w:rsidR="00DC7EB2" w:rsidP="00DC7EB2" w:rsidRDefault="00DC7EB2" w14:paraId="62C7B8F5" w14:textId="77777777"/>
    <w:p w:rsidR="00DC7EB2" w:rsidP="00DC7EB2" w:rsidRDefault="00DC7EB2" w14:paraId="230F785B" w14:textId="6A1D88CC">
      <w:pPr>
        <w:spacing w:after="160" w:line="259" w:lineRule="auto"/>
        <w:ind w:left="0" w:firstLine="0"/>
      </w:pPr>
      <w:r>
        <w:br w:type="page"/>
      </w:r>
    </w:p>
    <w:p w:rsidR="00170093" w:rsidP="00170093" w:rsidRDefault="00170093" w14:paraId="666F118B" w14:textId="541522E0">
      <w:pPr>
        <w:pStyle w:val="Heading1"/>
      </w:pPr>
      <w:bookmarkStart w:name="_Toc92795655" w:id="0"/>
      <w:r>
        <w:lastRenderedPageBreak/>
        <w:t>Introduction</w:t>
      </w:r>
      <w:bookmarkEnd w:id="0"/>
    </w:p>
    <w:p w:rsidRPr="004509AE" w:rsidR="00B638A9" w:rsidP="00170093" w:rsidRDefault="00B638A9" w14:paraId="121E30B9" w14:textId="01E918F5">
      <w:pPr>
        <w:ind w:left="567" w:firstLine="0"/>
        <w:rPr>
          <w:b/>
          <w:bCs/>
        </w:rPr>
      </w:pPr>
      <w:r w:rsidRPr="00CB6F36">
        <w:t>The University of</w:t>
      </w:r>
      <w:r w:rsidRPr="004509AE">
        <w:t xml:space="preserve"> Kent’s Credit Framework </w:t>
      </w:r>
      <w:r w:rsidRPr="00CB6F36">
        <w:t xml:space="preserve">has been </w:t>
      </w:r>
      <w:r w:rsidRPr="004509AE">
        <w:t xml:space="preserve">designed </w:t>
      </w:r>
      <w:r w:rsidRPr="00CB6F36">
        <w:t>to be fully compatible with the</w:t>
      </w:r>
      <w:r w:rsidRPr="004509AE">
        <w:t xml:space="preserve"> Quality Assurance Agency’s (QAA) UK Quality Code for Higher Education and the </w:t>
      </w:r>
      <w:r w:rsidRPr="00CB6F36">
        <w:t>qualifications framework</w:t>
      </w:r>
      <w:r w:rsidRPr="004509AE">
        <w:rPr>
          <w:b/>
          <w:bCs/>
        </w:rPr>
        <w:t xml:space="preserve"> </w:t>
      </w:r>
      <w:r w:rsidRPr="00CB6F36">
        <w:t xml:space="preserve">adopted </w:t>
      </w:r>
      <w:r w:rsidRPr="004509AE">
        <w:t xml:space="preserve">by </w:t>
      </w:r>
      <w:r w:rsidRPr="00CB6F36">
        <w:t xml:space="preserve">the Bologna Process for the creation of a European Higher Education Area (EHEA). </w:t>
      </w:r>
      <w:r w:rsidRPr="004509AE">
        <w:t xml:space="preserve">Kent’s minimum credit requirements for awards are set out in Annex 4 of the Credit Framework. </w:t>
      </w:r>
      <w:r w:rsidRPr="00CB6F36">
        <w:t xml:space="preserve"> </w:t>
      </w:r>
    </w:p>
    <w:p w:rsidR="00B638A9" w:rsidP="00B638A9" w:rsidRDefault="00B638A9" w14:paraId="2B3FDEC8" w14:textId="77777777">
      <w:pPr>
        <w:autoSpaceDE w:val="0"/>
        <w:autoSpaceDN w:val="0"/>
        <w:adjustRightInd w:val="0"/>
        <w:jc w:val="both"/>
        <w:rPr>
          <w:b/>
          <w:bCs/>
        </w:rPr>
      </w:pPr>
    </w:p>
    <w:p w:rsidRPr="004509AE" w:rsidR="00B638A9" w:rsidP="00170093" w:rsidRDefault="00B638A9" w14:paraId="4C5273A0" w14:textId="77777777">
      <w:pPr>
        <w:pStyle w:val="Heading1"/>
      </w:pPr>
      <w:bookmarkStart w:name="_Toc92795656" w:id="1"/>
      <w:r w:rsidRPr="004509AE">
        <w:t>The framework of qualifications for the European Higher Education Area</w:t>
      </w:r>
      <w:bookmarkEnd w:id="1"/>
    </w:p>
    <w:p w:rsidR="00B638A9" w:rsidP="00170093" w:rsidRDefault="00B638A9" w14:paraId="122A9A38" w14:textId="77777777">
      <w:pPr>
        <w:ind w:left="567" w:firstLine="0"/>
        <w:rPr>
          <w:rFonts w:eastAsia="Times New Roman"/>
        </w:rPr>
      </w:pPr>
      <w:r w:rsidRPr="004509AE">
        <w:t xml:space="preserve">The Bergen Conference of the Bologna Process in 2005 adopted an overarching framework for qualifications in the EHEA, divided into three cycles. </w:t>
      </w:r>
      <w:r w:rsidRPr="00CB6F36">
        <w:rPr>
          <w:rFonts w:eastAsia="Times New Roman"/>
        </w:rPr>
        <w:t xml:space="preserve">University of </w:t>
      </w:r>
      <w:r w:rsidRPr="004509AE">
        <w:rPr>
          <w:rFonts w:eastAsia="Times New Roman"/>
        </w:rPr>
        <w:t xml:space="preserve">Kent </w:t>
      </w:r>
      <w:r w:rsidRPr="00CB6F36">
        <w:rPr>
          <w:rFonts w:eastAsia="Times New Roman"/>
        </w:rPr>
        <w:t>qualifications meet the requirements of each cycle</w:t>
      </w:r>
      <w:r w:rsidRPr="004509AE">
        <w:rPr>
          <w:rFonts w:eastAsia="Times New Roman"/>
        </w:rPr>
        <w:t xml:space="preserve"> as follows: </w:t>
      </w:r>
    </w:p>
    <w:p w:rsidRPr="004509AE" w:rsidR="00B638A9" w:rsidP="00170093" w:rsidRDefault="00B638A9" w14:paraId="303970E7" w14:textId="43CDCAFF">
      <w:pPr>
        <w:pStyle w:val="Heading2"/>
        <w:ind w:left="567" w:hanging="567"/>
      </w:pPr>
      <w:bookmarkStart w:name="_Toc92795657" w:id="2"/>
      <w:r w:rsidRPr="004509AE">
        <w:t>First Cycle Qualifications</w:t>
      </w:r>
      <w:bookmarkEnd w:id="2"/>
    </w:p>
    <w:p w:rsidRPr="004509AE" w:rsidR="00B638A9" w:rsidP="00170093" w:rsidRDefault="00B638A9" w14:paraId="26AD1866" w14:textId="77777777">
      <w:pPr>
        <w:ind w:left="567" w:firstLine="0"/>
      </w:pPr>
      <w:r w:rsidRPr="00CB6F36">
        <w:t>Honours degrees</w:t>
      </w:r>
      <w:r w:rsidRPr="004509AE">
        <w:t xml:space="preserve"> </w:t>
      </w:r>
      <w:r w:rsidRPr="00CB6F36">
        <w:t xml:space="preserve">at the University of </w:t>
      </w:r>
      <w:r w:rsidRPr="004509AE">
        <w:t xml:space="preserve">Kent </w:t>
      </w:r>
      <w:r w:rsidRPr="00CB6F36">
        <w:t xml:space="preserve">are first cycle qualifications with outcomes that meet the relevant qualification descriptors of the </w:t>
      </w:r>
      <w:r w:rsidRPr="004509AE">
        <w:t>QAA</w:t>
      </w:r>
      <w:r w:rsidRPr="00CB6F36">
        <w:t xml:space="preserve"> and the EHEA. These degrees require a minimum of three</w:t>
      </w:r>
      <w:r w:rsidRPr="004509AE">
        <w:t xml:space="preserve"> </w:t>
      </w:r>
      <w:r w:rsidRPr="00CB6F36">
        <w:t>years study full-time and are worth 180 ECTS credits. Honours degrees are awarded as Bachelor qualifications</w:t>
      </w:r>
      <w:r>
        <w:t xml:space="preserve"> (</w:t>
      </w:r>
      <w:r w:rsidRPr="00CB6F36">
        <w:t>Bachelor of Arts (BA), Bachelor of Science (BSc), Bachelor of Engineering (BEng) etc</w:t>
      </w:r>
      <w:r>
        <w:t>)</w:t>
      </w:r>
      <w:r w:rsidRPr="00CB6F36">
        <w:t>.</w:t>
      </w:r>
    </w:p>
    <w:p w:rsidRPr="004509AE" w:rsidR="00B638A9" w:rsidP="00170093" w:rsidRDefault="00B638A9" w14:paraId="598DC9A9" w14:textId="782C8B03">
      <w:pPr>
        <w:pStyle w:val="Heading2"/>
        <w:ind w:left="567" w:hanging="567"/>
      </w:pPr>
      <w:bookmarkStart w:name="_Toc92795658" w:id="3"/>
      <w:r w:rsidRPr="004509AE">
        <w:t>Second Cycle Qualifications</w:t>
      </w:r>
      <w:bookmarkEnd w:id="3"/>
    </w:p>
    <w:p w:rsidRPr="004509AE" w:rsidR="00B638A9" w:rsidP="00170093" w:rsidRDefault="00B638A9" w14:paraId="2F7E329C" w14:textId="77777777">
      <w:pPr>
        <w:ind w:hanging="295"/>
      </w:pPr>
      <w:r w:rsidRPr="00514160">
        <w:t>There are three routes to second cycle qualifications:</w:t>
      </w:r>
    </w:p>
    <w:p w:rsidRPr="004509AE" w:rsidR="00B638A9" w:rsidP="00170093" w:rsidRDefault="00B638A9" w14:paraId="176858D3" w14:textId="4D2E8AC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rPr>
          <w:rFonts w:ascii="Arial" w:hAnsi="Arial" w:cs="Arial"/>
        </w:rPr>
      </w:pPr>
      <w:r w:rsidRPr="004509AE">
        <w:rPr>
          <w:rFonts w:ascii="Arial" w:hAnsi="Arial" w:eastAsia="Times New Roman" w:cs="Arial"/>
        </w:rPr>
        <w:t>Taught Master</w:t>
      </w:r>
      <w:r w:rsidR="00514160">
        <w:rPr>
          <w:rFonts w:ascii="Arial" w:hAnsi="Arial" w:eastAsia="Times New Roman" w:cs="Arial"/>
        </w:rPr>
        <w:t>’</w:t>
      </w:r>
      <w:r w:rsidRPr="004509AE">
        <w:rPr>
          <w:rFonts w:ascii="Arial" w:hAnsi="Arial" w:eastAsia="Times New Roman" w:cs="Arial"/>
        </w:rPr>
        <w:t>s degrees at the University of Kent are second cycle qualifications with outcomes that meet the relevant qualification descriptors of the QAA and the EHEA. These degrees require a minimum</w:t>
      </w:r>
      <w:r w:rsidRPr="004509AE">
        <w:rPr>
          <w:rFonts w:ascii="Arial" w:hAnsi="Arial" w:cs="Arial"/>
        </w:rPr>
        <w:t xml:space="preserve"> </w:t>
      </w:r>
      <w:r w:rsidRPr="004509AE">
        <w:rPr>
          <w:rFonts w:ascii="Arial" w:hAnsi="Arial" w:eastAsia="Times New Roman" w:cs="Arial"/>
        </w:rPr>
        <w:t>of one year study full-time and are worth 90 or 120 ECTS credits. Taught Master</w:t>
      </w:r>
      <w:r w:rsidR="00514160">
        <w:rPr>
          <w:rFonts w:ascii="Arial" w:hAnsi="Arial" w:eastAsia="Times New Roman" w:cs="Arial"/>
        </w:rPr>
        <w:t>’</w:t>
      </w:r>
      <w:r w:rsidRPr="004509AE">
        <w:rPr>
          <w:rFonts w:ascii="Arial" w:hAnsi="Arial" w:eastAsia="Times New Roman" w:cs="Arial"/>
        </w:rPr>
        <w:t>s degrees are awarded as Master</w:t>
      </w:r>
      <w:r w:rsidR="00514160">
        <w:rPr>
          <w:rFonts w:ascii="Arial" w:hAnsi="Arial" w:eastAsia="Times New Roman" w:cs="Arial"/>
        </w:rPr>
        <w:t>’s</w:t>
      </w:r>
      <w:r w:rsidRPr="004509AE">
        <w:rPr>
          <w:rFonts w:ascii="Arial" w:hAnsi="Arial" w:eastAsia="Times New Roman" w:cs="Arial"/>
        </w:rPr>
        <w:t xml:space="preserve"> qualifications</w:t>
      </w:r>
      <w:r>
        <w:rPr>
          <w:rFonts w:ascii="Arial" w:hAnsi="Arial" w:eastAsia="Times New Roman" w:cs="Arial"/>
        </w:rPr>
        <w:t xml:space="preserve"> (</w:t>
      </w:r>
      <w:r w:rsidRPr="004509AE">
        <w:rPr>
          <w:rFonts w:ascii="Arial" w:hAnsi="Arial" w:eastAsia="Times New Roman" w:cs="Arial"/>
        </w:rPr>
        <w:t>Master of Arts (MA), Master of Science (MSc), Master of Business Administration (MBA) etc</w:t>
      </w:r>
      <w:r>
        <w:rPr>
          <w:rFonts w:ascii="Arial" w:hAnsi="Arial" w:eastAsia="Times New Roman" w:cs="Arial"/>
        </w:rPr>
        <w:t>)</w:t>
      </w:r>
      <w:r w:rsidRPr="004509AE">
        <w:rPr>
          <w:rFonts w:ascii="Arial" w:hAnsi="Arial" w:eastAsia="Times New Roman" w:cs="Arial"/>
        </w:rPr>
        <w:t>.</w:t>
      </w:r>
    </w:p>
    <w:p w:rsidRPr="004509AE" w:rsidR="00B638A9" w:rsidP="00170093" w:rsidRDefault="00B638A9" w14:paraId="19245B70" w14:textId="251A279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rPr>
          <w:rFonts w:ascii="Arial" w:hAnsi="Arial" w:eastAsia="Times New Roman" w:cs="Arial"/>
        </w:rPr>
      </w:pPr>
      <w:r w:rsidRPr="004509AE">
        <w:rPr>
          <w:rFonts w:ascii="Arial" w:hAnsi="Arial" w:eastAsia="Times New Roman" w:cs="Arial"/>
        </w:rPr>
        <w:t>Integrated Master</w:t>
      </w:r>
      <w:r w:rsidR="00514160">
        <w:rPr>
          <w:rFonts w:ascii="Arial" w:hAnsi="Arial" w:eastAsia="Times New Roman" w:cs="Arial"/>
        </w:rPr>
        <w:t>’</w:t>
      </w:r>
      <w:r w:rsidRPr="004509AE">
        <w:rPr>
          <w:rFonts w:ascii="Arial" w:hAnsi="Arial" w:eastAsia="Times New Roman" w:cs="Arial"/>
        </w:rPr>
        <w:t>s degrees at the University of Kent are second cycle qualifications with outcomes that meet the relevant qualification descriptors of the QAA and the EHEA. These degrees comprise a minimum of three years study full-time to complete a first cycle qualification, followed by a minimum of one</w:t>
      </w:r>
      <w:r w:rsidRPr="004509AE">
        <w:rPr>
          <w:rFonts w:ascii="Arial" w:hAnsi="Arial" w:cs="Arial"/>
        </w:rPr>
        <w:t xml:space="preserve"> </w:t>
      </w:r>
      <w:r w:rsidRPr="004509AE">
        <w:rPr>
          <w:rFonts w:ascii="Arial" w:hAnsi="Arial" w:eastAsia="Times New Roman" w:cs="Arial"/>
        </w:rPr>
        <w:t>year study full-time worth 60 or 90 ECTS credits to obtain the second cycle qualification. Integrated Master</w:t>
      </w:r>
      <w:r w:rsidR="00514160">
        <w:rPr>
          <w:rFonts w:ascii="Arial" w:hAnsi="Arial" w:eastAsia="Times New Roman" w:cs="Arial"/>
        </w:rPr>
        <w:t>’</w:t>
      </w:r>
      <w:r w:rsidRPr="004509AE">
        <w:rPr>
          <w:rFonts w:ascii="Arial" w:hAnsi="Arial" w:eastAsia="Times New Roman" w:cs="Arial"/>
        </w:rPr>
        <w:t>s degrees are awarded as Master</w:t>
      </w:r>
      <w:r w:rsidR="00514160">
        <w:rPr>
          <w:rFonts w:ascii="Arial" w:hAnsi="Arial" w:eastAsia="Times New Roman" w:cs="Arial"/>
        </w:rPr>
        <w:t>’s</w:t>
      </w:r>
      <w:r w:rsidRPr="004509AE">
        <w:rPr>
          <w:rFonts w:ascii="Arial" w:hAnsi="Arial" w:eastAsia="Times New Roman" w:cs="Arial"/>
        </w:rPr>
        <w:t xml:space="preserve"> qualifications</w:t>
      </w:r>
      <w:r>
        <w:rPr>
          <w:rFonts w:ascii="Arial" w:hAnsi="Arial" w:eastAsia="Times New Roman" w:cs="Arial"/>
        </w:rPr>
        <w:t xml:space="preserve"> (</w:t>
      </w:r>
      <w:r w:rsidRPr="004509AE">
        <w:rPr>
          <w:rFonts w:ascii="Arial" w:hAnsi="Arial" w:eastAsia="Times New Roman" w:cs="Arial"/>
        </w:rPr>
        <w:t>Master in Engineering (MEng), Master in Science (</w:t>
      </w:r>
      <w:proofErr w:type="spellStart"/>
      <w:r w:rsidRPr="004509AE">
        <w:rPr>
          <w:rFonts w:ascii="Arial" w:hAnsi="Arial" w:eastAsia="Times New Roman" w:cs="Arial"/>
        </w:rPr>
        <w:t>MSci</w:t>
      </w:r>
      <w:proofErr w:type="spellEnd"/>
      <w:r w:rsidRPr="004509AE">
        <w:rPr>
          <w:rFonts w:ascii="Arial" w:hAnsi="Arial" w:eastAsia="Times New Roman" w:cs="Arial"/>
        </w:rPr>
        <w:t>), Master in Pharmacy (</w:t>
      </w:r>
      <w:proofErr w:type="spellStart"/>
      <w:r w:rsidRPr="004509AE">
        <w:rPr>
          <w:rFonts w:ascii="Arial" w:hAnsi="Arial" w:eastAsia="Times New Roman" w:cs="Arial"/>
        </w:rPr>
        <w:t>MPharm</w:t>
      </w:r>
      <w:proofErr w:type="spellEnd"/>
      <w:r w:rsidRPr="004509AE">
        <w:rPr>
          <w:rFonts w:ascii="Arial" w:hAnsi="Arial" w:eastAsia="Times New Roman" w:cs="Arial"/>
        </w:rPr>
        <w:t>) etc</w:t>
      </w:r>
      <w:r>
        <w:rPr>
          <w:rFonts w:ascii="Arial" w:hAnsi="Arial" w:eastAsia="Times New Roman" w:cs="Arial"/>
        </w:rPr>
        <w:t>)</w:t>
      </w:r>
      <w:r w:rsidRPr="004509AE">
        <w:rPr>
          <w:rFonts w:ascii="Arial" w:hAnsi="Arial" w:eastAsia="Times New Roman" w:cs="Arial"/>
        </w:rPr>
        <w:t>.</w:t>
      </w:r>
    </w:p>
    <w:p w:rsidRPr="004509AE" w:rsidR="00B638A9" w:rsidP="00170093" w:rsidRDefault="00B638A9" w14:paraId="22D4A7CA" w14:textId="1F0530A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rPr>
          <w:rFonts w:ascii="Arial" w:hAnsi="Arial" w:eastAsia="Times New Roman" w:cs="Arial"/>
        </w:rPr>
      </w:pPr>
      <w:r w:rsidRPr="004509AE">
        <w:rPr>
          <w:rFonts w:ascii="Arial" w:hAnsi="Arial" w:eastAsia="Times New Roman" w:cs="Arial"/>
        </w:rPr>
        <w:t>Research Master</w:t>
      </w:r>
      <w:r w:rsidR="00514160">
        <w:rPr>
          <w:rFonts w:ascii="Arial" w:hAnsi="Arial" w:eastAsia="Times New Roman" w:cs="Arial"/>
        </w:rPr>
        <w:t>’</w:t>
      </w:r>
      <w:r w:rsidRPr="004509AE">
        <w:rPr>
          <w:rFonts w:ascii="Arial" w:hAnsi="Arial" w:eastAsia="Times New Roman" w:cs="Arial"/>
        </w:rPr>
        <w:t xml:space="preserve">s degrees at the University of Kent are second cycle qualifications with outcomes that meet the relevant qualification descriptors </w:t>
      </w:r>
      <w:r w:rsidRPr="004509AE">
        <w:rPr>
          <w:rFonts w:ascii="Arial" w:hAnsi="Arial" w:eastAsia="Times New Roman" w:cs="Arial"/>
        </w:rPr>
        <w:lastRenderedPageBreak/>
        <w:t>of the QAA and the EHEA. These degrees comprise a minimum of one year study full-time and (if credit-bearing) are worth 90 ECTS credits. Research Master</w:t>
      </w:r>
      <w:r w:rsidR="00514160">
        <w:rPr>
          <w:rFonts w:ascii="Arial" w:hAnsi="Arial" w:eastAsia="Times New Roman" w:cs="Arial"/>
        </w:rPr>
        <w:t>’</w:t>
      </w:r>
      <w:r w:rsidRPr="004509AE">
        <w:rPr>
          <w:rFonts w:ascii="Arial" w:hAnsi="Arial" w:eastAsia="Times New Roman" w:cs="Arial"/>
        </w:rPr>
        <w:t>s degrees are awarded as Master</w:t>
      </w:r>
      <w:r w:rsidR="00514160">
        <w:rPr>
          <w:rFonts w:ascii="Arial" w:hAnsi="Arial" w:eastAsia="Times New Roman" w:cs="Arial"/>
        </w:rPr>
        <w:t>’s</w:t>
      </w:r>
      <w:r w:rsidRPr="004509AE">
        <w:rPr>
          <w:rFonts w:ascii="Arial" w:hAnsi="Arial" w:eastAsia="Times New Roman" w:cs="Arial"/>
        </w:rPr>
        <w:t xml:space="preserve"> qualifications</w:t>
      </w:r>
      <w:r>
        <w:rPr>
          <w:rFonts w:ascii="Arial" w:hAnsi="Arial" w:eastAsia="Times New Roman" w:cs="Arial"/>
        </w:rPr>
        <w:t xml:space="preserve"> (</w:t>
      </w:r>
      <w:r w:rsidRPr="004509AE">
        <w:rPr>
          <w:rFonts w:ascii="Arial" w:hAnsi="Arial" w:eastAsia="Times New Roman" w:cs="Arial"/>
        </w:rPr>
        <w:t>Master of Philosophy (MPhil), Master of Research (</w:t>
      </w:r>
      <w:proofErr w:type="spellStart"/>
      <w:r w:rsidRPr="004509AE">
        <w:rPr>
          <w:rFonts w:ascii="Arial" w:hAnsi="Arial" w:eastAsia="Times New Roman" w:cs="Arial"/>
        </w:rPr>
        <w:t>MRes</w:t>
      </w:r>
      <w:proofErr w:type="spellEnd"/>
      <w:r w:rsidRPr="004509AE">
        <w:rPr>
          <w:rFonts w:ascii="Arial" w:hAnsi="Arial" w:eastAsia="Times New Roman" w:cs="Arial"/>
        </w:rPr>
        <w:t>) etc</w:t>
      </w:r>
      <w:r>
        <w:rPr>
          <w:rFonts w:ascii="Arial" w:hAnsi="Arial" w:eastAsia="Times New Roman" w:cs="Arial"/>
        </w:rPr>
        <w:t>)</w:t>
      </w:r>
      <w:r w:rsidRPr="004509AE">
        <w:rPr>
          <w:rFonts w:ascii="Arial" w:hAnsi="Arial" w:eastAsia="Times New Roman" w:cs="Arial"/>
        </w:rPr>
        <w:t>.</w:t>
      </w:r>
    </w:p>
    <w:p w:rsidRPr="004509AE" w:rsidR="00B638A9" w:rsidP="00514160" w:rsidRDefault="00514160" w14:paraId="5335AA87" w14:textId="2DA13126">
      <w:pPr>
        <w:pStyle w:val="Heading2"/>
        <w:ind w:left="567" w:hanging="567"/>
      </w:pPr>
      <w:bookmarkStart w:name="_Toc92795659" w:id="4"/>
      <w:r>
        <w:t>Third Cycle Qualifications</w:t>
      </w:r>
      <w:bookmarkEnd w:id="4"/>
    </w:p>
    <w:p w:rsidRPr="004509AE" w:rsidR="00B638A9" w:rsidP="00514160" w:rsidRDefault="00B638A9" w14:paraId="4CDBD515" w14:textId="77777777">
      <w:pPr>
        <w:autoSpaceDE w:val="0"/>
        <w:autoSpaceDN w:val="0"/>
        <w:adjustRightInd w:val="0"/>
        <w:ind w:left="567" w:firstLine="0"/>
      </w:pPr>
      <w:r w:rsidRPr="00CB6F36">
        <w:rPr>
          <w:rFonts w:eastAsia="Times New Roman"/>
        </w:rPr>
        <w:t xml:space="preserve">Doctoral degrees at the University of </w:t>
      </w:r>
      <w:r w:rsidRPr="004509AE">
        <w:rPr>
          <w:rFonts w:eastAsia="Times New Roman"/>
        </w:rPr>
        <w:t xml:space="preserve">Kent </w:t>
      </w:r>
      <w:r w:rsidRPr="00CB6F36">
        <w:rPr>
          <w:rFonts w:eastAsia="Times New Roman"/>
        </w:rPr>
        <w:t xml:space="preserve">are third cycle qualifications with outcomes that meet the relevant qualification descriptors of the </w:t>
      </w:r>
      <w:r w:rsidRPr="004509AE">
        <w:rPr>
          <w:rFonts w:eastAsia="Times New Roman"/>
        </w:rPr>
        <w:t>QAA</w:t>
      </w:r>
      <w:r w:rsidRPr="00CB6F36">
        <w:rPr>
          <w:rFonts w:eastAsia="Times New Roman"/>
        </w:rPr>
        <w:t xml:space="preserve"> and the EHEA. These degrees comprise a minimum of three years study and (if credit-bearing) are worth 270 ECTS credits. Doctoral degrees are awarded as</w:t>
      </w:r>
      <w:r w:rsidRPr="004509AE">
        <w:t xml:space="preserve"> </w:t>
      </w:r>
      <w:r w:rsidRPr="00CB6F36">
        <w:rPr>
          <w:rFonts w:eastAsia="Times New Roman"/>
        </w:rPr>
        <w:t>Doctoral qualification</w:t>
      </w:r>
      <w:r w:rsidRPr="004509AE">
        <w:rPr>
          <w:rFonts w:eastAsia="Times New Roman"/>
        </w:rPr>
        <w:t>s</w:t>
      </w:r>
      <w:r>
        <w:rPr>
          <w:rFonts w:eastAsia="Times New Roman"/>
        </w:rPr>
        <w:t xml:space="preserve"> (</w:t>
      </w:r>
      <w:r w:rsidRPr="00CB6F36">
        <w:rPr>
          <w:rFonts w:eastAsia="Times New Roman"/>
        </w:rPr>
        <w:t>Doctor of Philosophy (PhD), Doctor of Education (EdD), Doctor of Clinical Psychology (</w:t>
      </w:r>
      <w:proofErr w:type="spellStart"/>
      <w:r w:rsidRPr="00CB6F36">
        <w:rPr>
          <w:rFonts w:eastAsia="Times New Roman"/>
        </w:rPr>
        <w:t>DClinPsy</w:t>
      </w:r>
      <w:proofErr w:type="spellEnd"/>
      <w:r w:rsidRPr="00CB6F36">
        <w:rPr>
          <w:rFonts w:eastAsia="Times New Roman"/>
        </w:rPr>
        <w:t>) etc</w:t>
      </w:r>
      <w:r>
        <w:rPr>
          <w:rFonts w:eastAsia="Times New Roman"/>
        </w:rPr>
        <w:t>)</w:t>
      </w:r>
      <w:r w:rsidRPr="00CB6F36">
        <w:rPr>
          <w:rFonts w:eastAsia="Times New Roman"/>
        </w:rPr>
        <w:t>.</w:t>
      </w:r>
    </w:p>
    <w:p w:rsidRPr="004509AE" w:rsidR="00B638A9" w:rsidP="00B638A9" w:rsidRDefault="00B638A9" w14:paraId="288A70E1" w14:textId="77777777">
      <w:pPr>
        <w:autoSpaceDE w:val="0"/>
        <w:autoSpaceDN w:val="0"/>
        <w:adjustRightInd w:val="0"/>
        <w:jc w:val="both"/>
      </w:pPr>
    </w:p>
    <w:p w:rsidRPr="00A33598" w:rsidR="00B638A9" w:rsidP="00A33598" w:rsidRDefault="00B638A9" w14:paraId="6C8049F0" w14:textId="77777777"/>
    <w:sectPr w:rsidRPr="00A33598" w:rsidR="00B638A9" w:rsidSect="002750C2">
      <w:headerReference w:type="default" r:id="rId11"/>
      <w:footerReference w:type="default" r:id="rId12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601" w:rsidP="002750C2" w:rsidRDefault="00295601" w14:paraId="589D6FB7" w14:textId="77777777">
      <w:pPr>
        <w:spacing w:after="0"/>
      </w:pPr>
      <w:r>
        <w:separator/>
      </w:r>
    </w:p>
  </w:endnote>
  <w:endnote w:type="continuationSeparator" w:id="0">
    <w:p w:rsidR="00295601" w:rsidP="002750C2" w:rsidRDefault="00295601" w14:paraId="15DE0BB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407B0524" w14:textId="359ACE34">
    <w:pPr>
      <w:pStyle w:val="Header"/>
      <w:rPr>
        <w:noProof/>
        <w:sz w:val="20"/>
      </w:rPr>
    </w:pPr>
  </w:p>
  <w:p w:rsidR="002F7E36" w:rsidP="00E53C8A" w:rsidRDefault="002750C2" w14:paraId="534CA78D" w14:textId="29C52AB2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Pr="00E53C8A" w:rsidR="00903AFF" w:rsidP="00E53C8A" w:rsidRDefault="00903AFF" w14:paraId="2B609C0A" w14:textId="7EEB93FA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743360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743360">
      <w:rPr>
        <w:rStyle w:val="eop"/>
        <w:sz w:val="20"/>
        <w:szCs w:val="20"/>
      </w:rPr>
      <w:t>3</w:t>
    </w:r>
  </w:p>
  <w:p w:rsidRPr="002E0DA9" w:rsidR="002750C2" w:rsidP="482BC2F5" w:rsidRDefault="002750C2" w14:paraId="3EC4BB1E" w14:textId="2576059B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482BC2F5" w:rsidR="482BC2F5">
      <w:rPr>
        <w:rStyle w:val="normaltextrun"/>
        <w:rFonts w:ascii="Arial" w:hAnsi="Arial" w:cs="Arial"/>
        <w:sz w:val="20"/>
        <w:szCs w:val="20"/>
      </w:rPr>
      <w:t>L</w:t>
    </w:r>
    <w:r w:rsidRPr="482BC2F5" w:rsidR="482BC2F5">
      <w:rPr>
        <w:rStyle w:val="normaltextrun"/>
        <w:rFonts w:ascii="Arial" w:hAnsi="Arial" w:cs="Arial"/>
        <w:sz w:val="20"/>
        <w:szCs w:val="20"/>
      </w:rPr>
      <w:t xml:space="preserve">ast Revised: </w:t>
    </w:r>
    <w:r w:rsidRPr="482BC2F5" w:rsidR="482BC2F5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482BC2F5" w:rsidRDefault="009F6B10" w14:paraId="1C4B4125" w14:textId="0CD36BE4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482BC2F5" w:rsidR="482BC2F5">
      <w:rPr>
        <w:rStyle w:val="normaltextrun"/>
        <w:rFonts w:ascii="Arial" w:hAnsi="Arial" w:cs="Arial"/>
        <w:sz w:val="20"/>
        <w:szCs w:val="20"/>
      </w:rPr>
      <w:t>Next review: September</w:t>
    </w:r>
    <w:r w:rsidRPr="482BC2F5" w:rsidR="482BC2F5">
      <w:rPr>
        <w:rStyle w:val="normaltextrun"/>
        <w:rFonts w:ascii="Arial" w:hAnsi="Arial" w:cs="Arial"/>
        <w:sz w:val="20"/>
        <w:szCs w:val="20"/>
      </w:rPr>
      <w:t xml:space="preserve"> 202</w:t>
    </w:r>
    <w:r w:rsidRPr="482BC2F5" w:rsidR="482BC2F5">
      <w:rPr>
        <w:rStyle w:val="normaltextrun"/>
        <w:rFonts w:ascii="Arial" w:hAnsi="Arial" w:cs="Arial"/>
        <w:sz w:val="20"/>
        <w:szCs w:val="20"/>
      </w:rPr>
      <w:t>4</w:t>
    </w:r>
  </w:p>
  <w:p w:rsidR="005F4147" w:rsidP="003A0781" w:rsidRDefault="002750C2" w14:paraId="0E0EFAB7" w14:textId="10C7B4EE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B931D7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B931D7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601" w:rsidP="002750C2" w:rsidRDefault="00295601" w14:paraId="2B6A9DFB" w14:textId="77777777">
      <w:pPr>
        <w:spacing w:after="0"/>
      </w:pPr>
      <w:r>
        <w:separator/>
      </w:r>
    </w:p>
  </w:footnote>
  <w:footnote w:type="continuationSeparator" w:id="0">
    <w:p w:rsidR="00295601" w:rsidP="002750C2" w:rsidRDefault="00295601" w14:paraId="673B73E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743360" w14:paraId="09E2B212" w14:textId="520E162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4AEBD" wp14:editId="483BB41F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0C2" w:rsidP="002750C2" w:rsidRDefault="00E53C8A" w14:paraId="58D60633" w14:textId="400388D6">
    <w:pPr>
      <w:pStyle w:val="Header"/>
      <w:ind w:right="284"/>
      <w:jc w:val="center"/>
      <w:rPr>
        <w:b/>
      </w:rPr>
    </w:pPr>
    <w:r>
      <w:rPr>
        <w:b/>
      </w:rPr>
      <w:t>Quality Assurance and Compliance</w:t>
    </w:r>
  </w:p>
  <w:p w:rsidRPr="002750C2" w:rsidR="00E53C8A" w:rsidP="002750C2" w:rsidRDefault="00E53C8A" w14:paraId="62A55288" w14:textId="37FB9C72">
    <w:pPr>
      <w:pStyle w:val="Header"/>
      <w:ind w:right="284"/>
      <w:jc w:val="center"/>
      <w:rPr>
        <w:b/>
      </w:rPr>
    </w:pPr>
    <w:r>
      <w:rPr>
        <w:b/>
      </w:rPr>
      <w:t>Guidance, Policies and Procedures</w:t>
    </w:r>
  </w:p>
  <w:p w:rsidR="005F4147" w:rsidP="00746ED1" w:rsidRDefault="005F4147" w14:paraId="3C2000A0" w14:textId="77777777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A24"/>
    <w:multiLevelType w:val="hybridMultilevel"/>
    <w:tmpl w:val="71CAAD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8D076A"/>
    <w:multiLevelType w:val="hybridMultilevel"/>
    <w:tmpl w:val="96327B42"/>
    <w:lvl w:ilvl="0" w:tplc="2D78BA6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EBE"/>
    <w:multiLevelType w:val="multilevel"/>
    <w:tmpl w:val="6AD6EA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0AE945DF"/>
    <w:multiLevelType w:val="hybridMultilevel"/>
    <w:tmpl w:val="9DF06DFA"/>
    <w:lvl w:ilvl="0" w:tplc="5D0850F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0D1F1F6B"/>
    <w:multiLevelType w:val="hybridMultilevel"/>
    <w:tmpl w:val="F7F88CA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7747C91"/>
    <w:multiLevelType w:val="hybridMultilevel"/>
    <w:tmpl w:val="C2A4B030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77518EA"/>
    <w:multiLevelType w:val="hybridMultilevel"/>
    <w:tmpl w:val="E8E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B037BCF"/>
    <w:multiLevelType w:val="hybridMultilevel"/>
    <w:tmpl w:val="2A86AD48"/>
    <w:lvl w:ilvl="0" w:tplc="2408C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1E10E7"/>
    <w:multiLevelType w:val="hybridMultilevel"/>
    <w:tmpl w:val="4E18801A"/>
    <w:lvl w:ilvl="0" w:tplc="A0D0C1DA">
      <w:start w:val="1"/>
      <w:numFmt w:val="decimal"/>
      <w:pStyle w:val="Heading3"/>
      <w:lvlText w:val="1.1.%1"/>
      <w:lvlJc w:val="left"/>
      <w:pPr>
        <w:ind w:left="720" w:hanging="360"/>
      </w:pPr>
      <w:rPr>
        <w:rFonts w:hint="default" w:ascii="Arial" w:hAnsi="Arial" w:cs="Arial"/>
        <w:b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13BE"/>
    <w:multiLevelType w:val="hybridMultilevel"/>
    <w:tmpl w:val="31D2CD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8C70E14"/>
    <w:multiLevelType w:val="hybridMultilevel"/>
    <w:tmpl w:val="6D2473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CB257B7"/>
    <w:multiLevelType w:val="hybridMultilevel"/>
    <w:tmpl w:val="AAC268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00C6E5F"/>
    <w:multiLevelType w:val="hybridMultilevel"/>
    <w:tmpl w:val="E2E872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01D7D1A"/>
    <w:multiLevelType w:val="hybridMultilevel"/>
    <w:tmpl w:val="2580F6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1431099"/>
    <w:multiLevelType w:val="hybridMultilevel"/>
    <w:tmpl w:val="F01288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15414A9"/>
    <w:multiLevelType w:val="hybridMultilevel"/>
    <w:tmpl w:val="80DE3E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2B463EC"/>
    <w:multiLevelType w:val="hybridMultilevel"/>
    <w:tmpl w:val="64CAF14E"/>
    <w:lvl w:ilvl="0" w:tplc="5D0850F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44216B6"/>
    <w:multiLevelType w:val="hybridMultilevel"/>
    <w:tmpl w:val="D57208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6CB45ED"/>
    <w:multiLevelType w:val="hybridMultilevel"/>
    <w:tmpl w:val="951027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D2F6B1B"/>
    <w:multiLevelType w:val="hybridMultilevel"/>
    <w:tmpl w:val="618CD7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F7E0C25"/>
    <w:multiLevelType w:val="hybridMultilevel"/>
    <w:tmpl w:val="0CC0A5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F863482"/>
    <w:multiLevelType w:val="hybridMultilevel"/>
    <w:tmpl w:val="58A655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3F875005"/>
    <w:multiLevelType w:val="hybridMultilevel"/>
    <w:tmpl w:val="321489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A05AA2"/>
    <w:multiLevelType w:val="multilevel"/>
    <w:tmpl w:val="4C582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>
      <w:numFmt w:val="bullet"/>
      <w:lvlText w:val="-"/>
      <w:lvlJc w:val="left"/>
      <w:pPr>
        <w:ind w:left="2520" w:hanging="360"/>
      </w:pPr>
      <w:rPr>
        <w:rFonts w:hint="default" w:ascii="Arial" w:hAnsi="Arial" w:eastAsia="Times New Roman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43728EE"/>
    <w:multiLevelType w:val="hybridMultilevel"/>
    <w:tmpl w:val="71D6A82C"/>
    <w:lvl w:ilvl="0" w:tplc="6DB8C5DE">
      <w:start w:val="1"/>
      <w:numFmt w:val="decimal"/>
      <w:pStyle w:val="Heading2"/>
      <w:lvlText w:val="2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7412B"/>
    <w:multiLevelType w:val="hybridMultilevel"/>
    <w:tmpl w:val="BE520710"/>
    <w:lvl w:ilvl="0" w:tplc="2408C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386DD2"/>
    <w:multiLevelType w:val="hybridMultilevel"/>
    <w:tmpl w:val="CF9AC070"/>
    <w:lvl w:ilvl="0" w:tplc="0809000B">
      <w:start w:val="1"/>
      <w:numFmt w:val="bullet"/>
      <w:lvlText w:val=""/>
      <w:lvlJc w:val="left"/>
      <w:pPr>
        <w:ind w:left="92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7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4CE533BF"/>
    <w:multiLevelType w:val="hybridMultilevel"/>
    <w:tmpl w:val="DFD45D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E30407C"/>
    <w:multiLevelType w:val="hybridMultilevel"/>
    <w:tmpl w:val="2B64F808"/>
    <w:lvl w:ilvl="0" w:tplc="C018E75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E8922D1"/>
    <w:multiLevelType w:val="hybridMultilevel"/>
    <w:tmpl w:val="D1DC87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4FA7115E"/>
    <w:multiLevelType w:val="hybridMultilevel"/>
    <w:tmpl w:val="C9A8AC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058137E"/>
    <w:multiLevelType w:val="hybridMultilevel"/>
    <w:tmpl w:val="024A33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3827515"/>
    <w:multiLevelType w:val="multilevel"/>
    <w:tmpl w:val="DA64F144"/>
    <w:lvl w:ilvl="0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38B33D3"/>
    <w:multiLevelType w:val="hybridMultilevel"/>
    <w:tmpl w:val="4404D85C"/>
    <w:lvl w:ilvl="0" w:tplc="4E8E0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1543C"/>
    <w:multiLevelType w:val="hybridMultilevel"/>
    <w:tmpl w:val="8A9E61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58D81140"/>
    <w:multiLevelType w:val="hybridMultilevel"/>
    <w:tmpl w:val="E8E097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CC072F4"/>
    <w:multiLevelType w:val="hybridMultilevel"/>
    <w:tmpl w:val="B9BAC6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5FB03EA5"/>
    <w:multiLevelType w:val="hybridMultilevel"/>
    <w:tmpl w:val="F84E6D66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9" w15:restartNumberingAfterBreak="0">
    <w:nsid w:val="61BD6AAF"/>
    <w:multiLevelType w:val="hybridMultilevel"/>
    <w:tmpl w:val="12F829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63F73A71"/>
    <w:multiLevelType w:val="hybridMultilevel"/>
    <w:tmpl w:val="F34099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D3F62C48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hint="default" w:ascii="Symbol" w:hAnsi="Symbol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7FE4DF3"/>
    <w:multiLevelType w:val="multilevel"/>
    <w:tmpl w:val="DA64F144"/>
    <w:lvl w:ilvl="0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20B53CC"/>
    <w:multiLevelType w:val="hybridMultilevel"/>
    <w:tmpl w:val="FF5E84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6C81F7A"/>
    <w:multiLevelType w:val="hybridMultilevel"/>
    <w:tmpl w:val="9C3890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8872F1E"/>
    <w:multiLevelType w:val="multilevel"/>
    <w:tmpl w:val="906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A4F0E01"/>
    <w:multiLevelType w:val="hybridMultilevel"/>
    <w:tmpl w:val="E92248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A682B4A"/>
    <w:multiLevelType w:val="hybridMultilevel"/>
    <w:tmpl w:val="EFD20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BE005C1"/>
    <w:multiLevelType w:val="hybridMultilevel"/>
    <w:tmpl w:val="F9A6DE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9" w15:restartNumberingAfterBreak="0">
    <w:nsid w:val="7FCD251B"/>
    <w:multiLevelType w:val="hybridMultilevel"/>
    <w:tmpl w:val="4A1C98EC"/>
    <w:lvl w:ilvl="0" w:tplc="5D0850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 w16cid:durableId="1393844422">
    <w:abstractNumId w:val="27"/>
  </w:num>
  <w:num w:numId="2" w16cid:durableId="651909037">
    <w:abstractNumId w:val="48"/>
  </w:num>
  <w:num w:numId="3" w16cid:durableId="1308240281">
    <w:abstractNumId w:val="35"/>
  </w:num>
  <w:num w:numId="4" w16cid:durableId="514541246">
    <w:abstractNumId w:val="22"/>
  </w:num>
  <w:num w:numId="5" w16cid:durableId="1117411232">
    <w:abstractNumId w:val="17"/>
  </w:num>
  <w:num w:numId="6" w16cid:durableId="980184539">
    <w:abstractNumId w:val="37"/>
  </w:num>
  <w:num w:numId="7" w16cid:durableId="1978679504">
    <w:abstractNumId w:val="14"/>
  </w:num>
  <w:num w:numId="8" w16cid:durableId="264386642">
    <w:abstractNumId w:val="6"/>
  </w:num>
  <w:num w:numId="9" w16cid:durableId="17971676">
    <w:abstractNumId w:val="13"/>
  </w:num>
  <w:num w:numId="10" w16cid:durableId="1686176964">
    <w:abstractNumId w:val="21"/>
  </w:num>
  <w:num w:numId="11" w16cid:durableId="803276083">
    <w:abstractNumId w:val="47"/>
  </w:num>
  <w:num w:numId="12" w16cid:durableId="467549189">
    <w:abstractNumId w:val="30"/>
  </w:num>
  <w:num w:numId="13" w16cid:durableId="886451191">
    <w:abstractNumId w:val="28"/>
  </w:num>
  <w:num w:numId="14" w16cid:durableId="1067454653">
    <w:abstractNumId w:val="41"/>
  </w:num>
  <w:num w:numId="15" w16cid:durableId="1911883639">
    <w:abstractNumId w:val="45"/>
  </w:num>
  <w:num w:numId="16" w16cid:durableId="887306504">
    <w:abstractNumId w:val="42"/>
  </w:num>
  <w:num w:numId="17" w16cid:durableId="518273873">
    <w:abstractNumId w:val="12"/>
  </w:num>
  <w:num w:numId="18" w16cid:durableId="1971592874">
    <w:abstractNumId w:val="18"/>
  </w:num>
  <w:num w:numId="19" w16cid:durableId="1815682694">
    <w:abstractNumId w:val="10"/>
  </w:num>
  <w:num w:numId="20" w16cid:durableId="838739681">
    <w:abstractNumId w:val="32"/>
  </w:num>
  <w:num w:numId="21" w16cid:durableId="1429155783">
    <w:abstractNumId w:val="15"/>
  </w:num>
  <w:num w:numId="22" w16cid:durableId="214859260">
    <w:abstractNumId w:val="33"/>
  </w:num>
  <w:num w:numId="23" w16cid:durableId="271477826">
    <w:abstractNumId w:val="11"/>
  </w:num>
  <w:num w:numId="24" w16cid:durableId="1937597641">
    <w:abstractNumId w:val="31"/>
  </w:num>
  <w:num w:numId="25" w16cid:durableId="1704403928">
    <w:abstractNumId w:val="39"/>
  </w:num>
  <w:num w:numId="26" w16cid:durableId="1710522011">
    <w:abstractNumId w:val="19"/>
  </w:num>
  <w:num w:numId="27" w16cid:durableId="107744010">
    <w:abstractNumId w:val="20"/>
  </w:num>
  <w:num w:numId="28" w16cid:durableId="156041700">
    <w:abstractNumId w:val="46"/>
  </w:num>
  <w:num w:numId="29" w16cid:durableId="176896629">
    <w:abstractNumId w:val="36"/>
  </w:num>
  <w:num w:numId="30" w16cid:durableId="494801660">
    <w:abstractNumId w:val="40"/>
  </w:num>
  <w:num w:numId="31" w16cid:durableId="235864770">
    <w:abstractNumId w:val="44"/>
  </w:num>
  <w:num w:numId="32" w16cid:durableId="583102337">
    <w:abstractNumId w:val="43"/>
  </w:num>
  <w:num w:numId="33" w16cid:durableId="503014307">
    <w:abstractNumId w:val="9"/>
  </w:num>
  <w:num w:numId="34" w16cid:durableId="1516190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6757571">
    <w:abstractNumId w:val="16"/>
  </w:num>
  <w:num w:numId="36" w16cid:durableId="1865512894">
    <w:abstractNumId w:val="7"/>
  </w:num>
  <w:num w:numId="37" w16cid:durableId="1181820810">
    <w:abstractNumId w:val="23"/>
  </w:num>
  <w:num w:numId="38" w16cid:durableId="1731265451">
    <w:abstractNumId w:val="25"/>
  </w:num>
  <w:num w:numId="39" w16cid:durableId="1114054401">
    <w:abstractNumId w:val="29"/>
  </w:num>
  <w:num w:numId="40" w16cid:durableId="679233378">
    <w:abstractNumId w:val="49"/>
  </w:num>
  <w:num w:numId="41" w16cid:durableId="141391997">
    <w:abstractNumId w:val="3"/>
  </w:num>
  <w:num w:numId="42" w16cid:durableId="848518385">
    <w:abstractNumId w:val="34"/>
  </w:num>
  <w:num w:numId="43" w16cid:durableId="2066296545">
    <w:abstractNumId w:val="4"/>
  </w:num>
  <w:num w:numId="44" w16cid:durableId="1180118657">
    <w:abstractNumId w:val="26"/>
  </w:num>
  <w:num w:numId="45" w16cid:durableId="91827896">
    <w:abstractNumId w:val="38"/>
  </w:num>
  <w:num w:numId="46" w16cid:durableId="1107850852">
    <w:abstractNumId w:val="0"/>
  </w:num>
  <w:num w:numId="47" w16cid:durableId="1794321514">
    <w:abstractNumId w:val="2"/>
  </w:num>
  <w:num w:numId="48" w16cid:durableId="1332835755">
    <w:abstractNumId w:val="24"/>
  </w:num>
  <w:num w:numId="49" w16cid:durableId="508717204">
    <w:abstractNumId w:val="8"/>
  </w:num>
  <w:num w:numId="50" w16cid:durableId="4972322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00000"/>
    <w:rsid w:val="0003627F"/>
    <w:rsid w:val="000D64FC"/>
    <w:rsid w:val="000E3364"/>
    <w:rsid w:val="00146B68"/>
    <w:rsid w:val="00170093"/>
    <w:rsid w:val="002741F0"/>
    <w:rsid w:val="002750C2"/>
    <w:rsid w:val="00295601"/>
    <w:rsid w:val="002E2660"/>
    <w:rsid w:val="002F7E36"/>
    <w:rsid w:val="00312E95"/>
    <w:rsid w:val="003A0781"/>
    <w:rsid w:val="003A70DC"/>
    <w:rsid w:val="004A334B"/>
    <w:rsid w:val="00514160"/>
    <w:rsid w:val="00516BB0"/>
    <w:rsid w:val="00577A60"/>
    <w:rsid w:val="005F4147"/>
    <w:rsid w:val="006F60A4"/>
    <w:rsid w:val="00743360"/>
    <w:rsid w:val="00746ED1"/>
    <w:rsid w:val="007C6ABD"/>
    <w:rsid w:val="00903AFF"/>
    <w:rsid w:val="00922C93"/>
    <w:rsid w:val="009F6B10"/>
    <w:rsid w:val="00A33598"/>
    <w:rsid w:val="00AA1745"/>
    <w:rsid w:val="00B1150F"/>
    <w:rsid w:val="00B638A9"/>
    <w:rsid w:val="00B931D7"/>
    <w:rsid w:val="00C4256D"/>
    <w:rsid w:val="00CE4E2F"/>
    <w:rsid w:val="00DC7EB2"/>
    <w:rsid w:val="00E53C8A"/>
    <w:rsid w:val="00ED0751"/>
    <w:rsid w:val="00EE7692"/>
    <w:rsid w:val="00FE4CA9"/>
    <w:rsid w:val="482BC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CF1AD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EB2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7A60"/>
    <w:pPr>
      <w:keepNext/>
      <w:keepLines/>
      <w:numPr>
        <w:numId w:val="1"/>
      </w:numPr>
      <w:tabs>
        <w:tab w:val="left" w:pos="567"/>
      </w:tabs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60"/>
    <w:pPr>
      <w:keepNext/>
      <w:keepLines/>
      <w:numPr>
        <w:numId w:val="48"/>
      </w:numPr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FC"/>
    <w:pPr>
      <w:keepNext/>
      <w:keepLines/>
      <w:numPr>
        <w:numId w:val="49"/>
      </w:numPr>
      <w:outlineLvl w:val="2"/>
    </w:pPr>
    <w:rPr>
      <w:rFonts w:eastAsiaTheme="majorEastAsia" w:cstheme="majorBidi"/>
      <w:b/>
      <w:color w:val="auto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77A60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Default" w:customStyle="1">
    <w:name w:val="Default"/>
    <w:rsid w:val="00CE4E2F"/>
    <w:pPr>
      <w:autoSpaceDE w:val="0"/>
      <w:autoSpaceDN w:val="0"/>
      <w:adjustRightInd w:val="0"/>
      <w:spacing w:after="0" w:line="240" w:lineRule="auto"/>
    </w:pPr>
    <w:rPr>
      <w:rFonts w:ascii="Arial Black" w:hAnsi="Arial Black" w:eastAsia="SimSun" w:cs="Arial Black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4E2F"/>
    <w:pPr>
      <w:spacing w:after="200" w:line="276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77A60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77A60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Emphasis">
    <w:name w:val="Emphasis"/>
    <w:basedOn w:val="DefaultParagraphFont"/>
    <w:uiPriority w:val="20"/>
    <w:qFormat/>
    <w:rsid w:val="00577A6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77A60"/>
    <w:pPr>
      <w:spacing w:after="0"/>
      <w:ind w:left="0" w:firstLine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77A60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577A60"/>
    <w:rPr>
      <w:vertAlign w:val="superscript"/>
    </w:rPr>
  </w:style>
  <w:style w:type="paragraph" w:styleId="NormalWeb">
    <w:name w:val="Normal (Web)"/>
    <w:basedOn w:val="Normal"/>
    <w:uiPriority w:val="99"/>
    <w:semiHidden/>
    <w:rsid w:val="00577A60"/>
    <w:pPr>
      <w:spacing w:before="100" w:beforeAutospacing="1" w:after="100" w:afterAutospacing="1"/>
      <w:ind w:left="0" w:firstLine="0"/>
    </w:pPr>
    <w:rPr>
      <w:rFonts w:ascii="Times New Roman" w:hAnsi="Times New Roman" w:eastAsia="SimSun" w:cs="Times New Roman"/>
      <w:color w:val="auto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577A60"/>
    <w:rPr>
      <w:rFonts w:ascii="Arial" w:hAnsi="Arial" w:eastAsiaTheme="majorEastAsia" w:cstheme="majorBidi"/>
      <w:b/>
      <w:sz w:val="24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0751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0D64FC"/>
    <w:rPr>
      <w:rFonts w:ascii="Arial" w:hAnsi="Arial" w:eastAsiaTheme="majorEastAsia" w:cstheme="majorBidi"/>
      <w:b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EB2"/>
    <w:pPr>
      <w:numPr>
        <w:ilvl w:val="1"/>
      </w:numPr>
      <w:ind w:left="862" w:hanging="862"/>
    </w:pPr>
    <w:rPr>
      <w:rFonts w:eastAsiaTheme="minorEastAsia" w:cstheme="minorBidi"/>
      <w:b/>
      <w:color w:val="auto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C7EB2"/>
    <w:rPr>
      <w:rFonts w:ascii="Arial" w:hAnsi="Arial" w:eastAsiaTheme="minorEastAsia"/>
      <w:b/>
      <w:spacing w:val="15"/>
      <w:sz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931D7"/>
    <w:pPr>
      <w:tabs>
        <w:tab w:val="right" w:leader="dot" w:pos="9016"/>
      </w:tabs>
      <w:spacing w:after="100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DC7E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C7EB2"/>
    <w:pPr>
      <w:tabs>
        <w:tab w:val="left" w:pos="1320"/>
        <w:tab w:val="right" w:leader="dot" w:pos="9016"/>
      </w:tabs>
      <w:spacing w:after="100"/>
      <w:ind w:left="851" w:hanging="851"/>
    </w:pPr>
  </w:style>
  <w:style w:type="character" w:styleId="UnresolvedMention">
    <w:name w:val="Unresolved Mention"/>
    <w:basedOn w:val="DefaultParagraphFont"/>
    <w:uiPriority w:val="99"/>
    <w:semiHidden/>
    <w:unhideWhenUsed/>
    <w:rsid w:val="00743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67AF3-BF16-495E-950F-FB76E0BDB49C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customXml/itemProps2.xml><?xml version="1.0" encoding="utf-8"?>
<ds:datastoreItem xmlns:ds="http://schemas.openxmlformats.org/officeDocument/2006/customXml" ds:itemID="{C7C2E1E2-54C9-482E-8998-BBB2EC2D9CF8}"/>
</file>

<file path=customXml/itemProps3.xml><?xml version="1.0" encoding="utf-8"?>
<ds:datastoreItem xmlns:ds="http://schemas.openxmlformats.org/officeDocument/2006/customXml" ds:itemID="{775EA5D7-B188-4E86-A0B6-AF3AA5A6B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3D14B-2A05-7545-A50F-BFB1E165F3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8</cp:revision>
  <dcterms:created xsi:type="dcterms:W3CDTF">2022-01-06T15:42:00Z</dcterms:created>
  <dcterms:modified xsi:type="dcterms:W3CDTF">2023-11-10T14:35:29Z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