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65E" w:rsidP="00A15937" w:rsidRDefault="00E83AA9" w14:paraId="460B29CB" w14:textId="54856ECF">
      <w:pPr>
        <w:pStyle w:val="Title"/>
      </w:pPr>
      <w:r>
        <w:t>Annex 9: Mitigation of Extenuating Circumstances</w:t>
      </w:r>
    </w:p>
    <w:p w:rsidR="00AE465E" w:rsidP="00974D53" w:rsidRDefault="00AE465E" w14:paraId="354F2E08" w14:textId="77777777">
      <w:pPr>
        <w:pStyle w:val="Subtitle"/>
      </w:pPr>
      <w:r>
        <w:t xml:space="preserve">Contents </w:t>
      </w:r>
    </w:p>
    <w:p w:rsidR="00A15937" w:rsidP="00A15937" w:rsidRDefault="00E9753A" w14:paraId="5770CA59" w14:textId="134B3521">
      <w:pPr>
        <w:pStyle w:val="TOC1"/>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114557645">
        <w:r w:rsidRPr="005E36D6" w:rsidR="00A15937">
          <w:rPr>
            <w:rStyle w:val="Hyperlink"/>
            <w:bCs/>
            <w:noProof/>
          </w:rPr>
          <w:t>1.</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Introduction</w:t>
        </w:r>
        <w:r w:rsidR="00A15937">
          <w:rPr>
            <w:noProof/>
            <w:webHidden/>
          </w:rPr>
          <w:tab/>
        </w:r>
        <w:r w:rsidR="00A15937">
          <w:rPr>
            <w:noProof/>
            <w:webHidden/>
          </w:rPr>
          <w:fldChar w:fldCharType="begin"/>
        </w:r>
        <w:r w:rsidR="00A15937">
          <w:rPr>
            <w:noProof/>
            <w:webHidden/>
          </w:rPr>
          <w:instrText xml:space="preserve"> PAGEREF _Toc114557645 \h </w:instrText>
        </w:r>
        <w:r w:rsidR="00A15937">
          <w:rPr>
            <w:noProof/>
            <w:webHidden/>
          </w:rPr>
        </w:r>
        <w:r w:rsidR="00A15937">
          <w:rPr>
            <w:noProof/>
            <w:webHidden/>
          </w:rPr>
          <w:fldChar w:fldCharType="separate"/>
        </w:r>
        <w:r w:rsidR="00A15937">
          <w:rPr>
            <w:noProof/>
            <w:webHidden/>
          </w:rPr>
          <w:t>2</w:t>
        </w:r>
        <w:r w:rsidR="00A15937">
          <w:rPr>
            <w:noProof/>
            <w:webHidden/>
          </w:rPr>
          <w:fldChar w:fldCharType="end"/>
        </w:r>
      </w:hyperlink>
    </w:p>
    <w:p w:rsidR="00A15937" w:rsidP="00A15937" w:rsidRDefault="007F65B4" w14:paraId="1D0F8DAE" w14:textId="527898F8">
      <w:pPr>
        <w:pStyle w:val="TOC1"/>
        <w:rPr>
          <w:rFonts w:asciiTheme="minorHAnsi" w:hAnsiTheme="minorHAnsi" w:eastAsiaTheme="minorEastAsia" w:cstheme="minorBidi"/>
          <w:noProof/>
          <w:color w:val="auto"/>
          <w:sz w:val="22"/>
          <w:lang w:eastAsia="zh-CN"/>
        </w:rPr>
      </w:pPr>
      <w:hyperlink w:history="1" w:anchor="_Toc114557646">
        <w:r w:rsidRPr="005E36D6" w:rsidR="00A15937">
          <w:rPr>
            <w:rStyle w:val="Hyperlink"/>
            <w:bCs/>
            <w:noProof/>
          </w:rPr>
          <w:t>2.</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Applications for Mitigation</w:t>
        </w:r>
        <w:r w:rsidR="00A15937">
          <w:rPr>
            <w:noProof/>
            <w:webHidden/>
          </w:rPr>
          <w:tab/>
        </w:r>
        <w:r w:rsidR="00A15937">
          <w:rPr>
            <w:noProof/>
            <w:webHidden/>
          </w:rPr>
          <w:fldChar w:fldCharType="begin"/>
        </w:r>
        <w:r w:rsidR="00A15937">
          <w:rPr>
            <w:noProof/>
            <w:webHidden/>
          </w:rPr>
          <w:instrText xml:space="preserve"> PAGEREF _Toc114557646 \h </w:instrText>
        </w:r>
        <w:r w:rsidR="00A15937">
          <w:rPr>
            <w:noProof/>
            <w:webHidden/>
          </w:rPr>
        </w:r>
        <w:r w:rsidR="00A15937">
          <w:rPr>
            <w:noProof/>
            <w:webHidden/>
          </w:rPr>
          <w:fldChar w:fldCharType="separate"/>
        </w:r>
        <w:r w:rsidR="00A15937">
          <w:rPr>
            <w:noProof/>
            <w:webHidden/>
          </w:rPr>
          <w:t>3</w:t>
        </w:r>
        <w:r w:rsidR="00A15937">
          <w:rPr>
            <w:noProof/>
            <w:webHidden/>
          </w:rPr>
          <w:fldChar w:fldCharType="end"/>
        </w:r>
      </w:hyperlink>
    </w:p>
    <w:p w:rsidR="00A15937" w:rsidP="00A15937" w:rsidRDefault="007F65B4" w14:paraId="78BAFB6A" w14:textId="66FB429C">
      <w:pPr>
        <w:pStyle w:val="TOC1"/>
        <w:rPr>
          <w:rFonts w:asciiTheme="minorHAnsi" w:hAnsiTheme="minorHAnsi" w:eastAsiaTheme="minorEastAsia" w:cstheme="minorBidi"/>
          <w:noProof/>
          <w:color w:val="auto"/>
          <w:sz w:val="22"/>
          <w:lang w:eastAsia="zh-CN"/>
        </w:rPr>
      </w:pPr>
      <w:hyperlink w:history="1" w:anchor="_Toc114557647">
        <w:r w:rsidRPr="005E36D6" w:rsidR="00A15937">
          <w:rPr>
            <w:rStyle w:val="Hyperlink"/>
            <w:bCs/>
            <w:noProof/>
          </w:rPr>
          <w:t>3.</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Submission Procedures</w:t>
        </w:r>
        <w:r w:rsidR="00A15937">
          <w:rPr>
            <w:noProof/>
            <w:webHidden/>
          </w:rPr>
          <w:tab/>
        </w:r>
        <w:r w:rsidR="00A15937">
          <w:rPr>
            <w:noProof/>
            <w:webHidden/>
          </w:rPr>
          <w:fldChar w:fldCharType="begin"/>
        </w:r>
        <w:r w:rsidR="00A15937">
          <w:rPr>
            <w:noProof/>
            <w:webHidden/>
          </w:rPr>
          <w:instrText xml:space="preserve"> PAGEREF _Toc114557647 \h </w:instrText>
        </w:r>
        <w:r w:rsidR="00A15937">
          <w:rPr>
            <w:noProof/>
            <w:webHidden/>
          </w:rPr>
        </w:r>
        <w:r w:rsidR="00A15937">
          <w:rPr>
            <w:noProof/>
            <w:webHidden/>
          </w:rPr>
          <w:fldChar w:fldCharType="separate"/>
        </w:r>
        <w:r w:rsidR="00A15937">
          <w:rPr>
            <w:noProof/>
            <w:webHidden/>
          </w:rPr>
          <w:t>5</w:t>
        </w:r>
        <w:r w:rsidR="00A15937">
          <w:rPr>
            <w:noProof/>
            <w:webHidden/>
          </w:rPr>
          <w:fldChar w:fldCharType="end"/>
        </w:r>
      </w:hyperlink>
    </w:p>
    <w:p w:rsidR="00A15937" w:rsidP="00A15937" w:rsidRDefault="007F65B4" w14:paraId="384BFBFB" w14:textId="0E4120FC">
      <w:pPr>
        <w:pStyle w:val="TOC1"/>
        <w:rPr>
          <w:rFonts w:asciiTheme="minorHAnsi" w:hAnsiTheme="minorHAnsi" w:eastAsiaTheme="minorEastAsia" w:cstheme="minorBidi"/>
          <w:noProof/>
          <w:color w:val="auto"/>
          <w:sz w:val="22"/>
          <w:lang w:eastAsia="zh-CN"/>
        </w:rPr>
      </w:pPr>
      <w:hyperlink w:history="1" w:anchor="_Toc114557648">
        <w:r w:rsidRPr="005E36D6" w:rsidR="00A15937">
          <w:rPr>
            <w:rStyle w:val="Hyperlink"/>
            <w:bCs/>
            <w:noProof/>
          </w:rPr>
          <w:t>4.</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Consideration of Applications for Mitigation</w:t>
        </w:r>
        <w:r w:rsidR="00A15937">
          <w:rPr>
            <w:noProof/>
            <w:webHidden/>
          </w:rPr>
          <w:tab/>
        </w:r>
        <w:r w:rsidR="00A15937">
          <w:rPr>
            <w:noProof/>
            <w:webHidden/>
          </w:rPr>
          <w:fldChar w:fldCharType="begin"/>
        </w:r>
        <w:r w:rsidR="00A15937">
          <w:rPr>
            <w:noProof/>
            <w:webHidden/>
          </w:rPr>
          <w:instrText xml:space="preserve"> PAGEREF _Toc114557648 \h </w:instrText>
        </w:r>
        <w:r w:rsidR="00A15937">
          <w:rPr>
            <w:noProof/>
            <w:webHidden/>
          </w:rPr>
        </w:r>
        <w:r w:rsidR="00A15937">
          <w:rPr>
            <w:noProof/>
            <w:webHidden/>
          </w:rPr>
          <w:fldChar w:fldCharType="separate"/>
        </w:r>
        <w:r w:rsidR="00A15937">
          <w:rPr>
            <w:noProof/>
            <w:webHidden/>
          </w:rPr>
          <w:t>6</w:t>
        </w:r>
        <w:r w:rsidR="00A15937">
          <w:rPr>
            <w:noProof/>
            <w:webHidden/>
          </w:rPr>
          <w:fldChar w:fldCharType="end"/>
        </w:r>
      </w:hyperlink>
    </w:p>
    <w:p w:rsidR="00A15937" w:rsidP="00A15937" w:rsidRDefault="007F65B4" w14:paraId="560EAA5E" w14:textId="228FCE49">
      <w:pPr>
        <w:pStyle w:val="TOC1"/>
        <w:rPr>
          <w:rFonts w:asciiTheme="minorHAnsi" w:hAnsiTheme="minorHAnsi" w:eastAsiaTheme="minorEastAsia" w:cstheme="minorBidi"/>
          <w:noProof/>
          <w:color w:val="auto"/>
          <w:sz w:val="22"/>
          <w:lang w:eastAsia="zh-CN"/>
        </w:rPr>
      </w:pPr>
      <w:hyperlink w:history="1" w:anchor="_Toc114557649">
        <w:r w:rsidRPr="005E36D6" w:rsidR="00A15937">
          <w:rPr>
            <w:rStyle w:val="Hyperlink"/>
            <w:bCs/>
            <w:noProof/>
          </w:rPr>
          <w:t>5.</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Supporting Evidence</w:t>
        </w:r>
        <w:r w:rsidR="00A15937">
          <w:rPr>
            <w:noProof/>
            <w:webHidden/>
          </w:rPr>
          <w:tab/>
        </w:r>
        <w:r w:rsidR="00A15937">
          <w:rPr>
            <w:noProof/>
            <w:webHidden/>
          </w:rPr>
          <w:fldChar w:fldCharType="begin"/>
        </w:r>
        <w:r w:rsidR="00A15937">
          <w:rPr>
            <w:noProof/>
            <w:webHidden/>
          </w:rPr>
          <w:instrText xml:space="preserve"> PAGEREF _Toc114557649 \h </w:instrText>
        </w:r>
        <w:r w:rsidR="00A15937">
          <w:rPr>
            <w:noProof/>
            <w:webHidden/>
          </w:rPr>
        </w:r>
        <w:r w:rsidR="00A15937">
          <w:rPr>
            <w:noProof/>
            <w:webHidden/>
          </w:rPr>
          <w:fldChar w:fldCharType="separate"/>
        </w:r>
        <w:r w:rsidR="00A15937">
          <w:rPr>
            <w:noProof/>
            <w:webHidden/>
          </w:rPr>
          <w:t>8</w:t>
        </w:r>
        <w:r w:rsidR="00A15937">
          <w:rPr>
            <w:noProof/>
            <w:webHidden/>
          </w:rPr>
          <w:fldChar w:fldCharType="end"/>
        </w:r>
      </w:hyperlink>
    </w:p>
    <w:p w:rsidR="00A15937" w:rsidP="00A15937" w:rsidRDefault="007F65B4" w14:paraId="0BAABE5B" w14:textId="25979C4E">
      <w:pPr>
        <w:pStyle w:val="TOC2"/>
        <w:rPr>
          <w:rFonts w:asciiTheme="minorHAnsi" w:hAnsiTheme="minorHAnsi" w:eastAsiaTheme="minorEastAsia" w:cstheme="minorBidi"/>
          <w:noProof/>
          <w:color w:val="auto"/>
          <w:sz w:val="22"/>
          <w:lang w:eastAsia="zh-CN"/>
        </w:rPr>
      </w:pPr>
      <w:hyperlink w:history="1" w:anchor="_Toc114557650">
        <w:r w:rsidRPr="005E36D6" w:rsidR="00A15937">
          <w:rPr>
            <w:rStyle w:val="Hyperlink"/>
            <w:rFonts w:eastAsia="Times New Roman"/>
            <w:noProof/>
          </w:rPr>
          <w:t>5.1</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Purpose of Supporting Evidence</w:t>
        </w:r>
        <w:r w:rsidR="00A15937">
          <w:rPr>
            <w:noProof/>
            <w:webHidden/>
          </w:rPr>
          <w:tab/>
        </w:r>
        <w:r w:rsidR="00A15937">
          <w:rPr>
            <w:noProof/>
            <w:webHidden/>
          </w:rPr>
          <w:fldChar w:fldCharType="begin"/>
        </w:r>
        <w:r w:rsidR="00A15937">
          <w:rPr>
            <w:noProof/>
            <w:webHidden/>
          </w:rPr>
          <w:instrText xml:space="preserve"> PAGEREF _Toc114557650 \h </w:instrText>
        </w:r>
        <w:r w:rsidR="00A15937">
          <w:rPr>
            <w:noProof/>
            <w:webHidden/>
          </w:rPr>
        </w:r>
        <w:r w:rsidR="00A15937">
          <w:rPr>
            <w:noProof/>
            <w:webHidden/>
          </w:rPr>
          <w:fldChar w:fldCharType="separate"/>
        </w:r>
        <w:r w:rsidR="00A15937">
          <w:rPr>
            <w:noProof/>
            <w:webHidden/>
          </w:rPr>
          <w:t>8</w:t>
        </w:r>
        <w:r w:rsidR="00A15937">
          <w:rPr>
            <w:noProof/>
            <w:webHidden/>
          </w:rPr>
          <w:fldChar w:fldCharType="end"/>
        </w:r>
      </w:hyperlink>
    </w:p>
    <w:p w:rsidR="00A15937" w:rsidP="00A15937" w:rsidRDefault="007F65B4" w14:paraId="3055533F" w14:textId="3E761C5B">
      <w:pPr>
        <w:pStyle w:val="TOC2"/>
        <w:rPr>
          <w:rFonts w:asciiTheme="minorHAnsi" w:hAnsiTheme="minorHAnsi" w:eastAsiaTheme="minorEastAsia" w:cstheme="minorBidi"/>
          <w:noProof/>
          <w:color w:val="auto"/>
          <w:sz w:val="22"/>
          <w:lang w:eastAsia="zh-CN"/>
        </w:rPr>
      </w:pPr>
      <w:hyperlink w:history="1" w:anchor="_Toc114557651">
        <w:r w:rsidRPr="005E36D6" w:rsidR="00A15937">
          <w:rPr>
            <w:rStyle w:val="Hyperlink"/>
            <w:rFonts w:eastAsia="Times New Roman"/>
            <w:noProof/>
          </w:rPr>
          <w:t>5.2</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Self-Certification</w:t>
        </w:r>
        <w:r w:rsidR="00A15937">
          <w:rPr>
            <w:noProof/>
            <w:webHidden/>
          </w:rPr>
          <w:tab/>
        </w:r>
        <w:r w:rsidR="00A15937">
          <w:rPr>
            <w:noProof/>
            <w:webHidden/>
          </w:rPr>
          <w:fldChar w:fldCharType="begin"/>
        </w:r>
        <w:r w:rsidR="00A15937">
          <w:rPr>
            <w:noProof/>
            <w:webHidden/>
          </w:rPr>
          <w:instrText xml:space="preserve"> PAGEREF _Toc114557651 \h </w:instrText>
        </w:r>
        <w:r w:rsidR="00A15937">
          <w:rPr>
            <w:noProof/>
            <w:webHidden/>
          </w:rPr>
        </w:r>
        <w:r w:rsidR="00A15937">
          <w:rPr>
            <w:noProof/>
            <w:webHidden/>
          </w:rPr>
          <w:fldChar w:fldCharType="separate"/>
        </w:r>
        <w:r w:rsidR="00A15937">
          <w:rPr>
            <w:noProof/>
            <w:webHidden/>
          </w:rPr>
          <w:t>8</w:t>
        </w:r>
        <w:r w:rsidR="00A15937">
          <w:rPr>
            <w:noProof/>
            <w:webHidden/>
          </w:rPr>
          <w:fldChar w:fldCharType="end"/>
        </w:r>
      </w:hyperlink>
    </w:p>
    <w:p w:rsidR="00A15937" w:rsidP="00A15937" w:rsidRDefault="007F65B4" w14:paraId="5467557A" w14:textId="01C88B9F">
      <w:pPr>
        <w:pStyle w:val="TOC2"/>
        <w:rPr>
          <w:rFonts w:asciiTheme="minorHAnsi" w:hAnsiTheme="minorHAnsi" w:eastAsiaTheme="minorEastAsia" w:cstheme="minorBidi"/>
          <w:noProof/>
          <w:color w:val="auto"/>
          <w:sz w:val="22"/>
          <w:lang w:eastAsia="zh-CN"/>
        </w:rPr>
      </w:pPr>
      <w:hyperlink w:history="1" w:anchor="_Toc114557652">
        <w:r w:rsidRPr="005E36D6" w:rsidR="00A15937">
          <w:rPr>
            <w:rStyle w:val="Hyperlink"/>
            <w:rFonts w:eastAsia="Times New Roman"/>
            <w:noProof/>
          </w:rPr>
          <w:t>5.3</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Letters and Statements from Medical Professionals and Professional Third Parties</w:t>
        </w:r>
        <w:r w:rsidR="00A15937">
          <w:rPr>
            <w:noProof/>
            <w:webHidden/>
          </w:rPr>
          <w:tab/>
        </w:r>
        <w:r w:rsidR="00A15937">
          <w:rPr>
            <w:noProof/>
            <w:webHidden/>
          </w:rPr>
          <w:fldChar w:fldCharType="begin"/>
        </w:r>
        <w:r w:rsidR="00A15937">
          <w:rPr>
            <w:noProof/>
            <w:webHidden/>
          </w:rPr>
          <w:instrText xml:space="preserve"> PAGEREF _Toc114557652 \h </w:instrText>
        </w:r>
        <w:r w:rsidR="00A15937">
          <w:rPr>
            <w:noProof/>
            <w:webHidden/>
          </w:rPr>
        </w:r>
        <w:r w:rsidR="00A15937">
          <w:rPr>
            <w:noProof/>
            <w:webHidden/>
          </w:rPr>
          <w:fldChar w:fldCharType="separate"/>
        </w:r>
        <w:r w:rsidR="00A15937">
          <w:rPr>
            <w:noProof/>
            <w:webHidden/>
          </w:rPr>
          <w:t>10</w:t>
        </w:r>
        <w:r w:rsidR="00A15937">
          <w:rPr>
            <w:noProof/>
            <w:webHidden/>
          </w:rPr>
          <w:fldChar w:fldCharType="end"/>
        </w:r>
      </w:hyperlink>
    </w:p>
    <w:p w:rsidR="00A15937" w:rsidP="00A15937" w:rsidRDefault="007F65B4" w14:paraId="1B470F00" w14:textId="1A4B3826">
      <w:pPr>
        <w:pStyle w:val="TOC2"/>
        <w:rPr>
          <w:rFonts w:asciiTheme="minorHAnsi" w:hAnsiTheme="minorHAnsi" w:eastAsiaTheme="minorEastAsia" w:cstheme="minorBidi"/>
          <w:noProof/>
          <w:color w:val="auto"/>
          <w:sz w:val="22"/>
          <w:lang w:eastAsia="zh-CN"/>
        </w:rPr>
      </w:pPr>
      <w:hyperlink w:history="1" w:anchor="_Toc114557653">
        <w:r w:rsidRPr="005E36D6" w:rsidR="00A15937">
          <w:rPr>
            <w:rStyle w:val="Hyperlink"/>
            <w:rFonts w:eastAsia="Times New Roman"/>
            <w:noProof/>
          </w:rPr>
          <w:t>5.4</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Death Certificates and Letters and Statements from Family Members, Friends and Fellow Students</w:t>
        </w:r>
        <w:r w:rsidR="00A15937">
          <w:rPr>
            <w:noProof/>
            <w:webHidden/>
          </w:rPr>
          <w:tab/>
        </w:r>
        <w:r w:rsidR="00A15937">
          <w:rPr>
            <w:noProof/>
            <w:webHidden/>
          </w:rPr>
          <w:fldChar w:fldCharType="begin"/>
        </w:r>
        <w:r w:rsidR="00A15937">
          <w:rPr>
            <w:noProof/>
            <w:webHidden/>
          </w:rPr>
          <w:instrText xml:space="preserve"> PAGEREF _Toc114557653 \h </w:instrText>
        </w:r>
        <w:r w:rsidR="00A15937">
          <w:rPr>
            <w:noProof/>
            <w:webHidden/>
          </w:rPr>
        </w:r>
        <w:r w:rsidR="00A15937">
          <w:rPr>
            <w:noProof/>
            <w:webHidden/>
          </w:rPr>
          <w:fldChar w:fldCharType="separate"/>
        </w:r>
        <w:r w:rsidR="00A15937">
          <w:rPr>
            <w:noProof/>
            <w:webHidden/>
          </w:rPr>
          <w:t>10</w:t>
        </w:r>
        <w:r w:rsidR="00A15937">
          <w:rPr>
            <w:noProof/>
            <w:webHidden/>
          </w:rPr>
          <w:fldChar w:fldCharType="end"/>
        </w:r>
      </w:hyperlink>
    </w:p>
    <w:p w:rsidR="00A15937" w:rsidP="00A15937" w:rsidRDefault="007F65B4" w14:paraId="10173923" w14:textId="26391894">
      <w:pPr>
        <w:pStyle w:val="TOC2"/>
        <w:rPr>
          <w:rFonts w:asciiTheme="minorHAnsi" w:hAnsiTheme="minorHAnsi" w:eastAsiaTheme="minorEastAsia" w:cstheme="minorBidi"/>
          <w:noProof/>
          <w:color w:val="auto"/>
          <w:sz w:val="22"/>
          <w:lang w:eastAsia="zh-CN"/>
        </w:rPr>
      </w:pPr>
      <w:hyperlink w:history="1" w:anchor="_Toc114557654">
        <w:r w:rsidRPr="005E36D6" w:rsidR="00A15937">
          <w:rPr>
            <w:rStyle w:val="Hyperlink"/>
            <w:rFonts w:eastAsia="Times New Roman"/>
            <w:noProof/>
          </w:rPr>
          <w:t>5.5</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Inclusive Learning Plan</w:t>
        </w:r>
        <w:r w:rsidR="00A15937">
          <w:rPr>
            <w:noProof/>
            <w:webHidden/>
          </w:rPr>
          <w:tab/>
        </w:r>
        <w:r w:rsidR="00A15937">
          <w:rPr>
            <w:noProof/>
            <w:webHidden/>
          </w:rPr>
          <w:fldChar w:fldCharType="begin"/>
        </w:r>
        <w:r w:rsidR="00A15937">
          <w:rPr>
            <w:noProof/>
            <w:webHidden/>
          </w:rPr>
          <w:instrText xml:space="preserve"> PAGEREF _Toc114557654 \h </w:instrText>
        </w:r>
        <w:r w:rsidR="00A15937">
          <w:rPr>
            <w:noProof/>
            <w:webHidden/>
          </w:rPr>
        </w:r>
        <w:r w:rsidR="00A15937">
          <w:rPr>
            <w:noProof/>
            <w:webHidden/>
          </w:rPr>
          <w:fldChar w:fldCharType="separate"/>
        </w:r>
        <w:r w:rsidR="00A15937">
          <w:rPr>
            <w:noProof/>
            <w:webHidden/>
          </w:rPr>
          <w:t>11</w:t>
        </w:r>
        <w:r w:rsidR="00A15937">
          <w:rPr>
            <w:noProof/>
            <w:webHidden/>
          </w:rPr>
          <w:fldChar w:fldCharType="end"/>
        </w:r>
      </w:hyperlink>
    </w:p>
    <w:p w:rsidR="00A15937" w:rsidP="00A15937" w:rsidRDefault="007F65B4" w14:paraId="65F7A7CA" w14:textId="5431E498">
      <w:pPr>
        <w:pStyle w:val="TOC2"/>
        <w:rPr>
          <w:rFonts w:asciiTheme="minorHAnsi" w:hAnsiTheme="minorHAnsi" w:eastAsiaTheme="minorEastAsia" w:cstheme="minorBidi"/>
          <w:noProof/>
          <w:color w:val="auto"/>
          <w:sz w:val="22"/>
          <w:lang w:eastAsia="zh-CN"/>
        </w:rPr>
      </w:pPr>
      <w:hyperlink w:history="1" w:anchor="_Toc114557655">
        <w:r w:rsidRPr="005E36D6" w:rsidR="00A15937">
          <w:rPr>
            <w:rStyle w:val="Hyperlink"/>
            <w:rFonts w:eastAsia="Times New Roman"/>
            <w:noProof/>
          </w:rPr>
          <w:t>5.6</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Other forms of Evidence</w:t>
        </w:r>
        <w:r w:rsidR="00A15937">
          <w:rPr>
            <w:noProof/>
            <w:webHidden/>
          </w:rPr>
          <w:tab/>
        </w:r>
        <w:r w:rsidR="00A15937">
          <w:rPr>
            <w:noProof/>
            <w:webHidden/>
          </w:rPr>
          <w:fldChar w:fldCharType="begin"/>
        </w:r>
        <w:r w:rsidR="00A15937">
          <w:rPr>
            <w:noProof/>
            <w:webHidden/>
          </w:rPr>
          <w:instrText xml:space="preserve"> PAGEREF _Toc114557655 \h </w:instrText>
        </w:r>
        <w:r w:rsidR="00A15937">
          <w:rPr>
            <w:noProof/>
            <w:webHidden/>
          </w:rPr>
        </w:r>
        <w:r w:rsidR="00A15937">
          <w:rPr>
            <w:noProof/>
            <w:webHidden/>
          </w:rPr>
          <w:fldChar w:fldCharType="separate"/>
        </w:r>
        <w:r w:rsidR="00A15937">
          <w:rPr>
            <w:noProof/>
            <w:webHidden/>
          </w:rPr>
          <w:t>11</w:t>
        </w:r>
        <w:r w:rsidR="00A15937">
          <w:rPr>
            <w:noProof/>
            <w:webHidden/>
          </w:rPr>
          <w:fldChar w:fldCharType="end"/>
        </w:r>
      </w:hyperlink>
    </w:p>
    <w:p w:rsidR="00A15937" w:rsidP="00A15937" w:rsidRDefault="007F65B4" w14:paraId="68ECD370" w14:textId="16079D3B">
      <w:pPr>
        <w:pStyle w:val="TOC1"/>
        <w:rPr>
          <w:rFonts w:asciiTheme="minorHAnsi" w:hAnsiTheme="minorHAnsi" w:eastAsiaTheme="minorEastAsia" w:cstheme="minorBidi"/>
          <w:noProof/>
          <w:color w:val="auto"/>
          <w:sz w:val="22"/>
          <w:lang w:eastAsia="zh-CN"/>
        </w:rPr>
      </w:pPr>
      <w:hyperlink w:history="1" w:anchor="_Toc114557656">
        <w:r w:rsidRPr="005E36D6" w:rsidR="00A15937">
          <w:rPr>
            <w:rStyle w:val="Hyperlink"/>
            <w:bCs/>
            <w:noProof/>
          </w:rPr>
          <w:t>6.</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Mitigation Committee Actions and Outcomes</w:t>
        </w:r>
        <w:r w:rsidR="00A15937">
          <w:rPr>
            <w:noProof/>
            <w:webHidden/>
          </w:rPr>
          <w:tab/>
        </w:r>
        <w:r w:rsidR="00A15937">
          <w:rPr>
            <w:noProof/>
            <w:webHidden/>
          </w:rPr>
          <w:fldChar w:fldCharType="begin"/>
        </w:r>
        <w:r w:rsidR="00A15937">
          <w:rPr>
            <w:noProof/>
            <w:webHidden/>
          </w:rPr>
          <w:instrText xml:space="preserve"> PAGEREF _Toc114557656 \h </w:instrText>
        </w:r>
        <w:r w:rsidR="00A15937">
          <w:rPr>
            <w:noProof/>
            <w:webHidden/>
          </w:rPr>
        </w:r>
        <w:r w:rsidR="00A15937">
          <w:rPr>
            <w:noProof/>
            <w:webHidden/>
          </w:rPr>
          <w:fldChar w:fldCharType="separate"/>
        </w:r>
        <w:r w:rsidR="00A15937">
          <w:rPr>
            <w:noProof/>
            <w:webHidden/>
          </w:rPr>
          <w:t>12</w:t>
        </w:r>
        <w:r w:rsidR="00A15937">
          <w:rPr>
            <w:noProof/>
            <w:webHidden/>
          </w:rPr>
          <w:fldChar w:fldCharType="end"/>
        </w:r>
      </w:hyperlink>
    </w:p>
    <w:p w:rsidR="00A15937" w:rsidP="00A15937" w:rsidRDefault="007F65B4" w14:paraId="60784E78" w14:textId="4145FF88">
      <w:pPr>
        <w:pStyle w:val="TOC2"/>
        <w:rPr>
          <w:rFonts w:asciiTheme="minorHAnsi" w:hAnsiTheme="minorHAnsi" w:eastAsiaTheme="minorEastAsia" w:cstheme="minorBidi"/>
          <w:noProof/>
          <w:color w:val="auto"/>
          <w:sz w:val="22"/>
          <w:lang w:eastAsia="zh-CN"/>
        </w:rPr>
      </w:pPr>
      <w:hyperlink w:history="1" w:anchor="_Toc114557657">
        <w:r w:rsidRPr="005E36D6" w:rsidR="00A15937">
          <w:rPr>
            <w:rStyle w:val="Hyperlink"/>
            <w:rFonts w:eastAsia="Times New Roman"/>
            <w:noProof/>
          </w:rPr>
          <w:t>6.2</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Extensions in advance to coursework assessment deadlines</w:t>
        </w:r>
        <w:r w:rsidR="00A15937">
          <w:rPr>
            <w:noProof/>
            <w:webHidden/>
          </w:rPr>
          <w:tab/>
        </w:r>
        <w:r w:rsidR="00A15937">
          <w:rPr>
            <w:noProof/>
            <w:webHidden/>
          </w:rPr>
          <w:fldChar w:fldCharType="begin"/>
        </w:r>
        <w:r w:rsidR="00A15937">
          <w:rPr>
            <w:noProof/>
            <w:webHidden/>
          </w:rPr>
          <w:instrText xml:space="preserve"> PAGEREF _Toc114557657 \h </w:instrText>
        </w:r>
        <w:r w:rsidR="00A15937">
          <w:rPr>
            <w:noProof/>
            <w:webHidden/>
          </w:rPr>
        </w:r>
        <w:r w:rsidR="00A15937">
          <w:rPr>
            <w:noProof/>
            <w:webHidden/>
          </w:rPr>
          <w:fldChar w:fldCharType="separate"/>
        </w:r>
        <w:r w:rsidR="00A15937">
          <w:rPr>
            <w:noProof/>
            <w:webHidden/>
          </w:rPr>
          <w:t>12</w:t>
        </w:r>
        <w:r w:rsidR="00A15937">
          <w:rPr>
            <w:noProof/>
            <w:webHidden/>
          </w:rPr>
          <w:fldChar w:fldCharType="end"/>
        </w:r>
      </w:hyperlink>
    </w:p>
    <w:p w:rsidR="00A15937" w:rsidP="00A15937" w:rsidRDefault="007F65B4" w14:paraId="0267492F" w14:textId="3E8ABEE8">
      <w:pPr>
        <w:pStyle w:val="TOC2"/>
        <w:rPr>
          <w:rFonts w:asciiTheme="minorHAnsi" w:hAnsiTheme="minorHAnsi" w:eastAsiaTheme="minorEastAsia" w:cstheme="minorBidi"/>
          <w:noProof/>
          <w:color w:val="auto"/>
          <w:sz w:val="22"/>
          <w:lang w:eastAsia="zh-CN"/>
        </w:rPr>
      </w:pPr>
      <w:hyperlink w:history="1" w:anchor="_Toc114557658">
        <w:r w:rsidRPr="005E36D6" w:rsidR="00A15937">
          <w:rPr>
            <w:rStyle w:val="Hyperlink"/>
            <w:rFonts w:eastAsia="Times New Roman"/>
            <w:noProof/>
          </w:rPr>
          <w:t>6.4</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Late coursework submissions</w:t>
        </w:r>
        <w:r w:rsidR="00A15937">
          <w:rPr>
            <w:noProof/>
            <w:webHidden/>
          </w:rPr>
          <w:tab/>
        </w:r>
        <w:r w:rsidR="00A15937">
          <w:rPr>
            <w:noProof/>
            <w:webHidden/>
          </w:rPr>
          <w:fldChar w:fldCharType="begin"/>
        </w:r>
        <w:r w:rsidR="00A15937">
          <w:rPr>
            <w:noProof/>
            <w:webHidden/>
          </w:rPr>
          <w:instrText xml:space="preserve"> PAGEREF _Toc114557658 \h </w:instrText>
        </w:r>
        <w:r w:rsidR="00A15937">
          <w:rPr>
            <w:noProof/>
            <w:webHidden/>
          </w:rPr>
        </w:r>
        <w:r w:rsidR="00A15937">
          <w:rPr>
            <w:noProof/>
            <w:webHidden/>
          </w:rPr>
          <w:fldChar w:fldCharType="separate"/>
        </w:r>
        <w:r w:rsidR="00A15937">
          <w:rPr>
            <w:noProof/>
            <w:webHidden/>
          </w:rPr>
          <w:t>13</w:t>
        </w:r>
        <w:r w:rsidR="00A15937">
          <w:rPr>
            <w:noProof/>
            <w:webHidden/>
          </w:rPr>
          <w:fldChar w:fldCharType="end"/>
        </w:r>
      </w:hyperlink>
    </w:p>
    <w:p w:rsidR="00A15937" w:rsidP="00A15937" w:rsidRDefault="007F65B4" w14:paraId="4F6F3FA7" w14:textId="057E568C">
      <w:pPr>
        <w:pStyle w:val="TOC2"/>
        <w:rPr>
          <w:rFonts w:asciiTheme="minorHAnsi" w:hAnsiTheme="minorHAnsi" w:eastAsiaTheme="minorEastAsia" w:cstheme="minorBidi"/>
          <w:noProof/>
          <w:color w:val="auto"/>
          <w:sz w:val="22"/>
          <w:lang w:eastAsia="zh-CN"/>
        </w:rPr>
      </w:pPr>
      <w:hyperlink w:history="1" w:anchor="_Toc114557659">
        <w:r w:rsidRPr="005E36D6" w:rsidR="00A15937">
          <w:rPr>
            <w:rStyle w:val="Hyperlink"/>
            <w:rFonts w:eastAsia="Times New Roman"/>
            <w:noProof/>
          </w:rPr>
          <w:t>6.5</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Non-attendance at ICT or practical assessments</w:t>
        </w:r>
        <w:r w:rsidR="00A15937">
          <w:rPr>
            <w:noProof/>
            <w:webHidden/>
          </w:rPr>
          <w:tab/>
        </w:r>
        <w:r w:rsidR="00A15937">
          <w:rPr>
            <w:noProof/>
            <w:webHidden/>
          </w:rPr>
          <w:fldChar w:fldCharType="begin"/>
        </w:r>
        <w:r w:rsidR="00A15937">
          <w:rPr>
            <w:noProof/>
            <w:webHidden/>
          </w:rPr>
          <w:instrText xml:space="preserve"> PAGEREF _Toc114557659 \h </w:instrText>
        </w:r>
        <w:r w:rsidR="00A15937">
          <w:rPr>
            <w:noProof/>
            <w:webHidden/>
          </w:rPr>
        </w:r>
        <w:r w:rsidR="00A15937">
          <w:rPr>
            <w:noProof/>
            <w:webHidden/>
          </w:rPr>
          <w:fldChar w:fldCharType="separate"/>
        </w:r>
        <w:r w:rsidR="00A15937">
          <w:rPr>
            <w:noProof/>
            <w:webHidden/>
          </w:rPr>
          <w:t>13</w:t>
        </w:r>
        <w:r w:rsidR="00A15937">
          <w:rPr>
            <w:noProof/>
            <w:webHidden/>
          </w:rPr>
          <w:fldChar w:fldCharType="end"/>
        </w:r>
      </w:hyperlink>
    </w:p>
    <w:p w:rsidR="00A15937" w:rsidP="00A15937" w:rsidRDefault="007F65B4" w14:paraId="79E9D09E" w14:textId="07EE7876">
      <w:pPr>
        <w:pStyle w:val="TOC2"/>
        <w:rPr>
          <w:rFonts w:asciiTheme="minorHAnsi" w:hAnsiTheme="minorHAnsi" w:eastAsiaTheme="minorEastAsia" w:cstheme="minorBidi"/>
          <w:noProof/>
          <w:color w:val="auto"/>
          <w:sz w:val="22"/>
          <w:lang w:eastAsia="zh-CN"/>
        </w:rPr>
      </w:pPr>
      <w:hyperlink w:history="1" w:anchor="_Toc114557660">
        <w:r w:rsidRPr="005E36D6" w:rsidR="00A15937">
          <w:rPr>
            <w:rStyle w:val="Hyperlink"/>
            <w:rFonts w:eastAsia="Times New Roman"/>
            <w:noProof/>
          </w:rPr>
          <w:t>6.6</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Non-submission of coursework</w:t>
        </w:r>
        <w:r w:rsidR="00A15937">
          <w:rPr>
            <w:noProof/>
            <w:webHidden/>
          </w:rPr>
          <w:tab/>
        </w:r>
        <w:r w:rsidR="00A15937">
          <w:rPr>
            <w:noProof/>
            <w:webHidden/>
          </w:rPr>
          <w:fldChar w:fldCharType="begin"/>
        </w:r>
        <w:r w:rsidR="00A15937">
          <w:rPr>
            <w:noProof/>
            <w:webHidden/>
          </w:rPr>
          <w:instrText xml:space="preserve"> PAGEREF _Toc114557660 \h </w:instrText>
        </w:r>
        <w:r w:rsidR="00A15937">
          <w:rPr>
            <w:noProof/>
            <w:webHidden/>
          </w:rPr>
        </w:r>
        <w:r w:rsidR="00A15937">
          <w:rPr>
            <w:noProof/>
            <w:webHidden/>
          </w:rPr>
          <w:fldChar w:fldCharType="separate"/>
        </w:r>
        <w:r w:rsidR="00A15937">
          <w:rPr>
            <w:noProof/>
            <w:webHidden/>
          </w:rPr>
          <w:t>13</w:t>
        </w:r>
        <w:r w:rsidR="00A15937">
          <w:rPr>
            <w:noProof/>
            <w:webHidden/>
          </w:rPr>
          <w:fldChar w:fldCharType="end"/>
        </w:r>
      </w:hyperlink>
    </w:p>
    <w:p w:rsidR="00A15937" w:rsidP="00A15937" w:rsidRDefault="007F65B4" w14:paraId="19F54446" w14:textId="5B3C7DFF">
      <w:pPr>
        <w:pStyle w:val="TOC2"/>
        <w:rPr>
          <w:rFonts w:asciiTheme="minorHAnsi" w:hAnsiTheme="minorHAnsi" w:eastAsiaTheme="minorEastAsia" w:cstheme="minorBidi"/>
          <w:noProof/>
          <w:color w:val="auto"/>
          <w:sz w:val="22"/>
          <w:lang w:eastAsia="zh-CN"/>
        </w:rPr>
      </w:pPr>
      <w:hyperlink w:history="1" w:anchor="_Toc114557661">
        <w:r w:rsidRPr="005E36D6" w:rsidR="00A15937">
          <w:rPr>
            <w:rStyle w:val="Hyperlink"/>
            <w:rFonts w:eastAsia="Times New Roman"/>
            <w:noProof/>
          </w:rPr>
          <w:t>6.7</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Impaired performance</w:t>
        </w:r>
        <w:r w:rsidR="00A15937">
          <w:rPr>
            <w:noProof/>
            <w:webHidden/>
          </w:rPr>
          <w:tab/>
        </w:r>
        <w:r w:rsidR="00A15937">
          <w:rPr>
            <w:noProof/>
            <w:webHidden/>
          </w:rPr>
          <w:fldChar w:fldCharType="begin"/>
        </w:r>
        <w:r w:rsidR="00A15937">
          <w:rPr>
            <w:noProof/>
            <w:webHidden/>
          </w:rPr>
          <w:instrText xml:space="preserve"> PAGEREF _Toc114557661 \h </w:instrText>
        </w:r>
        <w:r w:rsidR="00A15937">
          <w:rPr>
            <w:noProof/>
            <w:webHidden/>
          </w:rPr>
        </w:r>
        <w:r w:rsidR="00A15937">
          <w:rPr>
            <w:noProof/>
            <w:webHidden/>
          </w:rPr>
          <w:fldChar w:fldCharType="separate"/>
        </w:r>
        <w:r w:rsidR="00A15937">
          <w:rPr>
            <w:noProof/>
            <w:webHidden/>
          </w:rPr>
          <w:t>14</w:t>
        </w:r>
        <w:r w:rsidR="00A15937">
          <w:rPr>
            <w:noProof/>
            <w:webHidden/>
          </w:rPr>
          <w:fldChar w:fldCharType="end"/>
        </w:r>
      </w:hyperlink>
    </w:p>
    <w:p w:rsidR="00A15937" w:rsidP="00A15937" w:rsidRDefault="007F65B4" w14:paraId="7148E31B" w14:textId="23A6A97C">
      <w:pPr>
        <w:pStyle w:val="TOC2"/>
        <w:rPr>
          <w:rFonts w:asciiTheme="minorHAnsi" w:hAnsiTheme="minorHAnsi" w:eastAsiaTheme="minorEastAsia" w:cstheme="minorBidi"/>
          <w:noProof/>
          <w:color w:val="auto"/>
          <w:sz w:val="22"/>
          <w:lang w:eastAsia="zh-CN"/>
        </w:rPr>
      </w:pPr>
      <w:hyperlink w:history="1" w:anchor="_Toc114557662">
        <w:r w:rsidRPr="005E36D6" w:rsidR="00A15937">
          <w:rPr>
            <w:rStyle w:val="Hyperlink"/>
            <w:rFonts w:eastAsia="Times New Roman"/>
            <w:noProof/>
          </w:rPr>
          <w:t>6.8</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External Commitments</w:t>
        </w:r>
        <w:r w:rsidR="00A15937">
          <w:rPr>
            <w:noProof/>
            <w:webHidden/>
          </w:rPr>
          <w:tab/>
        </w:r>
        <w:r w:rsidR="00A15937">
          <w:rPr>
            <w:noProof/>
            <w:webHidden/>
          </w:rPr>
          <w:fldChar w:fldCharType="begin"/>
        </w:r>
        <w:r w:rsidR="00A15937">
          <w:rPr>
            <w:noProof/>
            <w:webHidden/>
          </w:rPr>
          <w:instrText xml:space="preserve"> PAGEREF _Toc114557662 \h </w:instrText>
        </w:r>
        <w:r w:rsidR="00A15937">
          <w:rPr>
            <w:noProof/>
            <w:webHidden/>
          </w:rPr>
        </w:r>
        <w:r w:rsidR="00A15937">
          <w:rPr>
            <w:noProof/>
            <w:webHidden/>
          </w:rPr>
          <w:fldChar w:fldCharType="separate"/>
        </w:r>
        <w:r w:rsidR="00A15937">
          <w:rPr>
            <w:noProof/>
            <w:webHidden/>
          </w:rPr>
          <w:t>14</w:t>
        </w:r>
        <w:r w:rsidR="00A15937">
          <w:rPr>
            <w:noProof/>
            <w:webHidden/>
          </w:rPr>
          <w:fldChar w:fldCharType="end"/>
        </w:r>
      </w:hyperlink>
    </w:p>
    <w:p w:rsidR="00A15937" w:rsidP="00A15937" w:rsidRDefault="007F65B4" w14:paraId="143D6D0F" w14:textId="6C4058FF">
      <w:pPr>
        <w:pStyle w:val="TOC1"/>
        <w:rPr>
          <w:rFonts w:asciiTheme="minorHAnsi" w:hAnsiTheme="minorHAnsi" w:eastAsiaTheme="minorEastAsia" w:cstheme="minorBidi"/>
          <w:noProof/>
          <w:color w:val="auto"/>
          <w:sz w:val="22"/>
          <w:lang w:eastAsia="zh-CN"/>
        </w:rPr>
      </w:pPr>
      <w:hyperlink w:history="1" w:anchor="_Toc114557663">
        <w:r w:rsidRPr="005E36D6" w:rsidR="00A15937">
          <w:rPr>
            <w:rStyle w:val="Hyperlink"/>
            <w:bCs/>
            <w:noProof/>
          </w:rPr>
          <w:t>7.</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Inclusive Learning Plans</w:t>
        </w:r>
        <w:r w:rsidR="00A15937">
          <w:rPr>
            <w:noProof/>
            <w:webHidden/>
          </w:rPr>
          <w:tab/>
        </w:r>
        <w:r w:rsidR="00A15937">
          <w:rPr>
            <w:noProof/>
            <w:webHidden/>
          </w:rPr>
          <w:fldChar w:fldCharType="begin"/>
        </w:r>
        <w:r w:rsidR="00A15937">
          <w:rPr>
            <w:noProof/>
            <w:webHidden/>
          </w:rPr>
          <w:instrText xml:space="preserve"> PAGEREF _Toc114557663 \h </w:instrText>
        </w:r>
        <w:r w:rsidR="00A15937">
          <w:rPr>
            <w:noProof/>
            <w:webHidden/>
          </w:rPr>
        </w:r>
        <w:r w:rsidR="00A15937">
          <w:rPr>
            <w:noProof/>
            <w:webHidden/>
          </w:rPr>
          <w:fldChar w:fldCharType="separate"/>
        </w:r>
        <w:r w:rsidR="00A15937">
          <w:rPr>
            <w:noProof/>
            <w:webHidden/>
          </w:rPr>
          <w:t>15</w:t>
        </w:r>
        <w:r w:rsidR="00A15937">
          <w:rPr>
            <w:noProof/>
            <w:webHidden/>
          </w:rPr>
          <w:fldChar w:fldCharType="end"/>
        </w:r>
      </w:hyperlink>
    </w:p>
    <w:p w:rsidR="00A15937" w:rsidP="00A15937" w:rsidRDefault="007F65B4" w14:paraId="138DA1CF" w14:textId="34187129">
      <w:pPr>
        <w:pStyle w:val="TOC1"/>
        <w:rPr>
          <w:rFonts w:asciiTheme="minorHAnsi" w:hAnsiTheme="minorHAnsi" w:eastAsiaTheme="minorEastAsia" w:cstheme="minorBidi"/>
          <w:noProof/>
          <w:color w:val="auto"/>
          <w:sz w:val="22"/>
          <w:lang w:eastAsia="zh-CN"/>
        </w:rPr>
      </w:pPr>
      <w:hyperlink w:history="1" w:anchor="_Toc114557664">
        <w:r w:rsidRPr="005E36D6" w:rsidR="00A15937">
          <w:rPr>
            <w:rStyle w:val="Hyperlink"/>
            <w:bCs/>
            <w:noProof/>
          </w:rPr>
          <w:t>8.</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Falsified Evidence</w:t>
        </w:r>
        <w:r w:rsidR="00A15937">
          <w:rPr>
            <w:noProof/>
            <w:webHidden/>
          </w:rPr>
          <w:tab/>
        </w:r>
        <w:r w:rsidR="00A15937">
          <w:rPr>
            <w:noProof/>
            <w:webHidden/>
          </w:rPr>
          <w:fldChar w:fldCharType="begin"/>
        </w:r>
        <w:r w:rsidR="00A15937">
          <w:rPr>
            <w:noProof/>
            <w:webHidden/>
          </w:rPr>
          <w:instrText xml:space="preserve"> PAGEREF _Toc114557664 \h </w:instrText>
        </w:r>
        <w:r w:rsidR="00A15937">
          <w:rPr>
            <w:noProof/>
            <w:webHidden/>
          </w:rPr>
        </w:r>
        <w:r w:rsidR="00A15937">
          <w:rPr>
            <w:noProof/>
            <w:webHidden/>
          </w:rPr>
          <w:fldChar w:fldCharType="separate"/>
        </w:r>
        <w:r w:rsidR="00A15937">
          <w:rPr>
            <w:noProof/>
            <w:webHidden/>
          </w:rPr>
          <w:t>16</w:t>
        </w:r>
        <w:r w:rsidR="00A15937">
          <w:rPr>
            <w:noProof/>
            <w:webHidden/>
          </w:rPr>
          <w:fldChar w:fldCharType="end"/>
        </w:r>
      </w:hyperlink>
    </w:p>
    <w:p w:rsidR="00A15937" w:rsidP="00A15937" w:rsidRDefault="007F65B4" w14:paraId="3B852F02" w14:textId="396E4463">
      <w:pPr>
        <w:pStyle w:val="TOC1"/>
        <w:rPr>
          <w:rFonts w:asciiTheme="minorHAnsi" w:hAnsiTheme="minorHAnsi" w:eastAsiaTheme="minorEastAsia" w:cstheme="minorBidi"/>
          <w:noProof/>
          <w:color w:val="auto"/>
          <w:sz w:val="22"/>
          <w:lang w:eastAsia="zh-CN"/>
        </w:rPr>
      </w:pPr>
      <w:hyperlink w:history="1" w:anchor="_Toc114557665">
        <w:r w:rsidRPr="005E36D6" w:rsidR="00A15937">
          <w:rPr>
            <w:rStyle w:val="Hyperlink"/>
            <w:bCs/>
            <w:noProof/>
          </w:rPr>
          <w:t>9.</w:t>
        </w:r>
        <w:r w:rsidR="00A15937">
          <w:rPr>
            <w:rFonts w:asciiTheme="minorHAnsi" w:hAnsiTheme="minorHAnsi" w:eastAsiaTheme="minorEastAsia" w:cstheme="minorBidi"/>
            <w:noProof/>
            <w:color w:val="auto"/>
            <w:sz w:val="22"/>
            <w:lang w:eastAsia="zh-CN"/>
          </w:rPr>
          <w:tab/>
        </w:r>
        <w:r w:rsidRPr="005E36D6" w:rsidR="00A15937">
          <w:rPr>
            <w:rStyle w:val="Hyperlink"/>
            <w:rFonts w:eastAsia="Times New Roman"/>
            <w:noProof/>
          </w:rPr>
          <w:t>Academic Appeals</w:t>
        </w:r>
        <w:r w:rsidR="00A15937">
          <w:rPr>
            <w:noProof/>
            <w:webHidden/>
          </w:rPr>
          <w:tab/>
        </w:r>
        <w:r w:rsidR="00A15937">
          <w:rPr>
            <w:noProof/>
            <w:webHidden/>
          </w:rPr>
          <w:fldChar w:fldCharType="begin"/>
        </w:r>
        <w:r w:rsidR="00A15937">
          <w:rPr>
            <w:noProof/>
            <w:webHidden/>
          </w:rPr>
          <w:instrText xml:space="preserve"> PAGEREF _Toc114557665 \h </w:instrText>
        </w:r>
        <w:r w:rsidR="00A15937">
          <w:rPr>
            <w:noProof/>
            <w:webHidden/>
          </w:rPr>
        </w:r>
        <w:r w:rsidR="00A15937">
          <w:rPr>
            <w:noProof/>
            <w:webHidden/>
          </w:rPr>
          <w:fldChar w:fldCharType="separate"/>
        </w:r>
        <w:r w:rsidR="00A15937">
          <w:rPr>
            <w:noProof/>
            <w:webHidden/>
          </w:rPr>
          <w:t>16</w:t>
        </w:r>
        <w:r w:rsidR="00A15937">
          <w:rPr>
            <w:noProof/>
            <w:webHidden/>
          </w:rPr>
          <w:fldChar w:fldCharType="end"/>
        </w:r>
      </w:hyperlink>
    </w:p>
    <w:p w:rsidR="00AE465E" w:rsidP="00974D53" w:rsidRDefault="00E9753A" w14:paraId="436A78C1" w14:textId="7F692B07">
      <w:pPr>
        <w:ind w:left="709"/>
      </w:pPr>
      <w:r>
        <w:fldChar w:fldCharType="end"/>
      </w:r>
    </w:p>
    <w:p w:rsidR="00AE465E" w:rsidP="00AE465E" w:rsidRDefault="00AE465E" w14:paraId="66A75E8D" w14:textId="77777777"/>
    <w:p w:rsidR="00AE465E" w:rsidRDefault="00AE465E" w14:paraId="3DE32A47" w14:textId="77777777">
      <w:pPr>
        <w:spacing w:after="160" w:line="259" w:lineRule="auto"/>
        <w:ind w:left="0" w:firstLine="0"/>
      </w:pPr>
      <w:r>
        <w:br w:type="page"/>
      </w:r>
    </w:p>
    <w:p w:rsidRPr="00F579C0" w:rsidR="00E83AA9" w:rsidP="00E83AA9" w:rsidRDefault="00E83AA9" w14:paraId="4ED9C494" w14:textId="77777777">
      <w:pPr>
        <w:ind w:left="0" w:right="237" w:firstLine="0"/>
        <w:rPr>
          <w:szCs w:val="24"/>
        </w:rPr>
      </w:pPr>
      <w:r>
        <w:rPr>
          <w:szCs w:val="24"/>
        </w:rPr>
        <w:t xml:space="preserve">Note: </w:t>
      </w:r>
      <w:r w:rsidRPr="00F579C0">
        <w:rPr>
          <w:szCs w:val="24"/>
        </w:rPr>
        <w:t>Where the text states ‘School’ this should be understood to refer to ‘School’ or ’Department’ at the sub-divisional level, as appropriate.</w:t>
      </w:r>
    </w:p>
    <w:p w:rsidRPr="00F579C0" w:rsidR="00E83AA9" w:rsidP="00E83AA9" w:rsidRDefault="00E83AA9" w14:paraId="135732FE" w14:textId="77777777">
      <w:pPr>
        <w:ind w:right="237"/>
        <w:jc w:val="center"/>
        <w:rPr>
          <w:rFonts w:eastAsia="Times New Roman"/>
          <w:szCs w:val="24"/>
        </w:rPr>
      </w:pPr>
    </w:p>
    <w:p w:rsidRPr="00F579C0" w:rsidR="00E83AA9" w:rsidP="00E83AA9" w:rsidRDefault="00E83AA9" w14:paraId="134BE9DB" w14:textId="77777777">
      <w:pPr>
        <w:pStyle w:val="Heading1"/>
        <w:rPr>
          <w:rFonts w:eastAsia="Times New Roman"/>
        </w:rPr>
      </w:pPr>
      <w:bookmarkStart w:name="_Toc114557645" w:id="0"/>
      <w:r w:rsidRPr="00F579C0">
        <w:rPr>
          <w:rFonts w:eastAsia="Times New Roman"/>
        </w:rPr>
        <w:t>Introduction</w:t>
      </w:r>
      <w:bookmarkEnd w:id="0"/>
    </w:p>
    <w:p w:rsidRPr="009F0656" w:rsidR="00E83AA9" w:rsidP="6DE875E4" w:rsidRDefault="00E83AA9" w14:paraId="62573725" w14:textId="799AB53C">
      <w:pPr>
        <w:pStyle w:val="ListParagraph"/>
        <w:numPr>
          <w:ilvl w:val="1"/>
          <w:numId w:val="8"/>
        </w:numPr>
        <w:shd w:val="clear" w:color="auto" w:fill="FFFFFF" w:themeFill="background1"/>
        <w:spacing w:after="120" w:line="240" w:lineRule="auto"/>
        <w:ind w:left="567" w:right="237" w:hanging="573"/>
        <w:rPr>
          <w:rFonts w:ascii="Arial" w:hAnsi="Arial" w:eastAsia="Times New Roman" w:cs="Arial"/>
          <w:shd w:val="clear" w:color="auto" w:fill="FFFFFF" w:themeFill="background1"/>
          <w:lang w:eastAsia="en-GB"/>
        </w:rPr>
      </w:pPr>
      <w:r w:rsidRPr="6DE875E4">
        <w:rPr>
          <w:rFonts w:ascii="Arial" w:hAnsi="Arial" w:eastAsia="Times New Roman" w:cs="Arial"/>
          <w:lang w:eastAsia="en-GB"/>
        </w:rPr>
        <w:t xml:space="preserve">All students have a responsibility to manage their learning, revision and assessment activities throughout the duration of each term or assessment period at University. Students are partners with the University in their studies and are expected to plan </w:t>
      </w:r>
      <w:r w:rsidR="004458CE">
        <w:rPr>
          <w:rFonts w:ascii="Arial" w:hAnsi="Arial" w:eastAsia="Times New Roman" w:cs="Arial"/>
          <w:lang w:eastAsia="en-GB"/>
        </w:rPr>
        <w:t xml:space="preserve">and </w:t>
      </w:r>
      <w:r w:rsidRPr="6DE875E4">
        <w:rPr>
          <w:rFonts w:ascii="Arial" w:hAnsi="Arial" w:eastAsia="Times New Roman" w:cs="Arial"/>
          <w:lang w:eastAsia="en-GB"/>
        </w:rPr>
        <w:t xml:space="preserve">manage their workloads properly and to </w:t>
      </w:r>
      <w:r w:rsidRPr="5C41F4ED">
        <w:rPr>
          <w:rFonts w:ascii="Arial" w:hAnsi="Arial" w:eastAsia="Times New Roman" w:cs="Arial"/>
          <w:lang w:eastAsia="en-GB"/>
        </w:rPr>
        <w:t>be able to cope with the minor, short term ups and downs of everyday life.</w:t>
      </w:r>
      <w:r w:rsidRPr="13710730" w:rsidDel="00E83AA9">
        <w:rPr>
          <w:rFonts w:ascii="Arial" w:hAnsi="Arial" w:eastAsia="Times New Roman" w:cs="Arial"/>
          <w:lang w:eastAsia="en-GB"/>
        </w:rPr>
        <w:t xml:space="preserve"> </w:t>
      </w:r>
      <w:r w:rsidRPr="5C41F4ED">
        <w:rPr>
          <w:rFonts w:ascii="Arial" w:hAnsi="Arial" w:eastAsia="Times New Roman" w:cs="Arial"/>
          <w:lang w:eastAsia="en-GB"/>
        </w:rPr>
        <w:t xml:space="preserve">It is normal for everyone </w:t>
      </w:r>
      <w:r w:rsidRPr="6DE875E4">
        <w:rPr>
          <w:rFonts w:ascii="Arial" w:hAnsi="Arial" w:eastAsia="Times New Roman" w:cs="Arial"/>
          <w:shd w:val="clear" w:color="auto" w:fill="FFFFFF" w:themeFill="background1"/>
          <w:lang w:eastAsia="en-GB"/>
        </w:rPr>
        <w:t xml:space="preserve">to </w:t>
      </w:r>
      <w:r w:rsidRPr="5C41F4ED">
        <w:rPr>
          <w:rFonts w:ascii="Arial" w:hAnsi="Arial" w:eastAsia="Times New Roman" w:cs="Arial"/>
          <w:lang w:eastAsia="en-GB"/>
        </w:rPr>
        <w:t>experience</w:t>
      </w:r>
      <w:r w:rsidRPr="6DE875E4">
        <w:rPr>
          <w:rFonts w:ascii="Arial" w:hAnsi="Arial" w:eastAsia="Times New Roman" w:cs="Arial"/>
          <w:shd w:val="clear" w:color="auto" w:fill="FFFFFF" w:themeFill="background1"/>
          <w:lang w:eastAsia="en-GB"/>
        </w:rPr>
        <w:t xml:space="preserve"> a level of stress and anxiety</w:t>
      </w:r>
      <w:r w:rsidRPr="5C41F4ED">
        <w:rPr>
          <w:rFonts w:ascii="Arial" w:hAnsi="Arial" w:eastAsia="Times New Roman" w:cs="Arial"/>
          <w:lang w:eastAsia="en-GB"/>
        </w:rPr>
        <w:t xml:space="preserve"> </w:t>
      </w:r>
      <w:r w:rsidRPr="00430B89">
        <w:rPr>
          <w:rFonts w:ascii="Arial" w:hAnsi="Arial" w:eastAsia="Times New Roman" w:cs="Arial"/>
          <w:lang w:eastAsia="en-GB"/>
        </w:rPr>
        <w:t>during their studies, especially</w:t>
      </w:r>
      <w:r w:rsidRPr="00430B89">
        <w:rPr>
          <w:rFonts w:ascii="Arial" w:hAnsi="Arial" w:eastAsia="Times New Roman" w:cs="Arial"/>
          <w:shd w:val="clear" w:color="auto" w:fill="FFFFFF" w:themeFill="background1"/>
          <w:lang w:eastAsia="en-GB"/>
        </w:rPr>
        <w:t xml:space="preserve"> around assessments</w:t>
      </w:r>
      <w:r w:rsidR="004458CE">
        <w:rPr>
          <w:rFonts w:ascii="Arial" w:hAnsi="Arial" w:eastAsia="Times New Roman" w:cs="Arial"/>
          <w:lang w:eastAsia="en-GB"/>
        </w:rPr>
        <w:t>,</w:t>
      </w:r>
      <w:r w:rsidRPr="00430B89">
        <w:rPr>
          <w:rFonts w:ascii="Arial" w:hAnsi="Arial" w:eastAsia="Times New Roman" w:cs="Arial"/>
          <w:lang w:eastAsia="en-GB"/>
        </w:rPr>
        <w:t xml:space="preserve"> and the University p</w:t>
      </w:r>
      <w:r w:rsidRPr="00430B89" w:rsidR="13710730">
        <w:rPr>
          <w:rFonts w:ascii="Arial" w:hAnsi="Arial" w:eastAsia="Arial Nova" w:cs="Arial"/>
          <w:color w:val="333333"/>
          <w:szCs w:val="24"/>
        </w:rPr>
        <w:t>rovides services such as Student Support and Wellbeing (‘SSW’) and the Student Learning Advisory Service (‘SLAS</w:t>
      </w:r>
      <w:r w:rsidRPr="00BB19F1" w:rsidR="13710730">
        <w:rPr>
          <w:rFonts w:ascii="Arial" w:hAnsi="Arial" w:eastAsia="Arial Nova" w:cs="Arial"/>
          <w:color w:val="333333"/>
          <w:szCs w:val="24"/>
        </w:rPr>
        <w:t>’) to support students in handling both the normal pressures of student life, as well as</w:t>
      </w:r>
      <w:r w:rsidR="004458CE">
        <w:rPr>
          <w:rFonts w:ascii="Arial" w:hAnsi="Arial" w:eastAsia="Arial Nova" w:cs="Arial"/>
          <w:color w:val="333333"/>
          <w:szCs w:val="24"/>
        </w:rPr>
        <w:t xml:space="preserve"> during</w:t>
      </w:r>
      <w:r w:rsidRPr="00BB19F1" w:rsidR="13710730">
        <w:rPr>
          <w:rFonts w:ascii="Arial" w:hAnsi="Arial" w:eastAsia="Arial Nova" w:cs="Arial"/>
          <w:color w:val="333333"/>
          <w:szCs w:val="24"/>
        </w:rPr>
        <w:t xml:space="preserve"> periods in which they experience difficult events in their personal lives</w:t>
      </w:r>
      <w:r w:rsidRPr="009F0656">
        <w:rPr>
          <w:rFonts w:ascii="Arial" w:hAnsi="Arial" w:eastAsia="Arial Nova" w:cs="Arial"/>
          <w:szCs w:val="24"/>
          <w:shd w:val="clear" w:color="auto" w:fill="FFFFFF" w:themeFill="background1"/>
          <w:lang w:eastAsia="en-GB"/>
        </w:rPr>
        <w:t>.</w:t>
      </w:r>
      <w:r w:rsidRPr="00BB19F1">
        <w:rPr>
          <w:rFonts w:ascii="Arial" w:hAnsi="Arial" w:eastAsia="Arial Nova" w:cs="Arial"/>
          <w:szCs w:val="24"/>
          <w:lang w:eastAsia="en-GB"/>
        </w:rPr>
        <w:t xml:space="preserve"> </w:t>
      </w:r>
    </w:p>
    <w:p w:rsidRPr="00430B89" w:rsidR="004458CE" w:rsidP="009F0656" w:rsidRDefault="004458CE" w14:paraId="3E879C1C" w14:textId="77777777">
      <w:pPr>
        <w:pStyle w:val="ListParagraph"/>
        <w:shd w:val="clear" w:color="auto" w:fill="FFFFFF" w:themeFill="background1"/>
        <w:spacing w:after="120" w:line="240" w:lineRule="auto"/>
        <w:ind w:left="567" w:right="237"/>
        <w:rPr>
          <w:rFonts w:ascii="Arial" w:hAnsi="Arial" w:eastAsia="Times New Roman" w:cs="Arial"/>
          <w:shd w:val="clear" w:color="auto" w:fill="FFFFFF" w:themeFill="background1"/>
          <w:lang w:eastAsia="en-GB"/>
        </w:rPr>
      </w:pPr>
    </w:p>
    <w:p w:rsidR="00E83AA9" w:rsidP="6DE875E4" w:rsidRDefault="00E83AA9" w14:paraId="46EB764F" w14:textId="73CC6CC4">
      <w:pPr>
        <w:pStyle w:val="ListParagraph"/>
        <w:numPr>
          <w:ilvl w:val="1"/>
          <w:numId w:val="8"/>
        </w:numPr>
        <w:shd w:val="clear" w:color="auto" w:fill="FFFFFF" w:themeFill="background1"/>
        <w:spacing w:after="120" w:line="240" w:lineRule="auto"/>
        <w:ind w:left="567" w:right="237" w:hanging="567"/>
        <w:rPr>
          <w:rFonts w:ascii="Arial" w:hAnsi="Arial" w:eastAsia="Times New Roman" w:cs="Arial"/>
          <w:lang w:eastAsia="en-GB"/>
        </w:rPr>
      </w:pPr>
      <w:r w:rsidRPr="5C41F4ED">
        <w:rPr>
          <w:rFonts w:ascii="Arial" w:hAnsi="Arial" w:eastAsia="Times New Roman" w:cs="Arial"/>
          <w:lang w:eastAsia="en-GB"/>
        </w:rPr>
        <w:t>Students with Inclusive Learning Plans (ILP) are expected to manage their studies in accordance with their ILP, to make use of the recommendations and provisions of their ILP, to act in partnership with the support services available and to contact them if their needs change (see Section 7 below).</w:t>
      </w:r>
    </w:p>
    <w:p w:rsidRPr="00F579C0" w:rsidR="004458CE" w:rsidP="009F0656" w:rsidRDefault="004458CE" w14:paraId="04757E0A" w14:textId="77777777">
      <w:pPr>
        <w:pStyle w:val="ListParagraph"/>
        <w:shd w:val="clear" w:color="auto" w:fill="FFFFFF" w:themeFill="background1"/>
        <w:spacing w:after="120" w:line="240" w:lineRule="auto"/>
        <w:ind w:left="567" w:right="237"/>
        <w:rPr>
          <w:rFonts w:ascii="Arial" w:hAnsi="Arial" w:eastAsia="Times New Roman" w:cs="Arial"/>
          <w:lang w:eastAsia="en-GB"/>
        </w:rPr>
      </w:pPr>
    </w:p>
    <w:p w:rsidRPr="009F0656" w:rsidR="004458CE" w:rsidP="004458CE" w:rsidRDefault="38331A7A" w14:paraId="14A229B3" w14:textId="6FEEB62A">
      <w:pPr>
        <w:pStyle w:val="ListParagraph"/>
        <w:numPr>
          <w:ilvl w:val="1"/>
          <w:numId w:val="8"/>
        </w:numPr>
        <w:shd w:val="clear" w:color="auto" w:fill="FFFFFF" w:themeFill="background1"/>
        <w:spacing w:after="120" w:line="240" w:lineRule="auto"/>
        <w:ind w:left="567" w:right="237" w:hanging="567"/>
        <w:rPr>
          <w:rFonts w:ascii="Arial" w:hAnsi="Arial" w:eastAsia="Arial Nova" w:cs="Arial"/>
          <w:szCs w:val="24"/>
        </w:rPr>
      </w:pPr>
      <w:r w:rsidRPr="009F0656">
        <w:rPr>
          <w:rFonts w:ascii="Arial" w:hAnsi="Arial" w:eastAsia="Arial Nova" w:cs="Arial"/>
          <w:b/>
          <w:bCs/>
          <w:szCs w:val="24"/>
        </w:rPr>
        <w:t>Please note that it is not appropriate to use the mitigation procedure as a means of retrospectively making any reasonable adjustments that may be necessary under the Equality Act</w:t>
      </w:r>
      <w:r w:rsidRPr="009F0656">
        <w:rPr>
          <w:rFonts w:ascii="Arial" w:hAnsi="Arial" w:eastAsia="Arial Nova" w:cs="Arial"/>
          <w:szCs w:val="24"/>
        </w:rPr>
        <w:t>.</w:t>
      </w:r>
      <w:r w:rsidRPr="00BB19F1" w:rsidR="5C41F4ED">
        <w:rPr>
          <w:rFonts w:ascii="Arial" w:hAnsi="Arial" w:eastAsia="Times New Roman" w:cs="Arial"/>
          <w:lang w:eastAsia="en-GB"/>
        </w:rPr>
        <w:t xml:space="preserve"> </w:t>
      </w:r>
      <w:r w:rsidRPr="00BB19F1" w:rsidR="5C41F4ED">
        <w:rPr>
          <w:rFonts w:ascii="Arial" w:hAnsi="Arial" w:eastAsia="Arial Nova" w:cs="Arial"/>
          <w:color w:val="333333"/>
          <w:szCs w:val="24"/>
        </w:rPr>
        <w:t>Divisions are required to make reasonable adjustments to ensure that any student with an ILP or student for whom they are aware of the need for disability-related adjustment are not at a disadvantage.  Such adjustments should be made at the earliest possible opportunity and the application of mitigation should not be relied upon to retrospectively remove a disadvantage that could have been avoided.  However, mitigation should still be considered for situations where the reasonable adjustments made at the time turned out to not be sufficient or the need for reasonable adjustments was not known at an early enough stage.</w:t>
      </w:r>
    </w:p>
    <w:p w:rsidRPr="009F0656" w:rsidR="004458CE" w:rsidP="009F0656" w:rsidRDefault="004458CE" w14:paraId="15E0D26B" w14:textId="77777777">
      <w:pPr>
        <w:pStyle w:val="ListParagraph"/>
        <w:shd w:val="clear" w:color="auto" w:fill="FFFFFF" w:themeFill="background1"/>
        <w:spacing w:after="120" w:line="240" w:lineRule="auto"/>
        <w:ind w:left="567" w:right="237"/>
        <w:rPr>
          <w:rFonts w:ascii="Arial" w:hAnsi="Arial" w:eastAsia="Arial Nova" w:cs="Arial"/>
          <w:szCs w:val="24"/>
        </w:rPr>
      </w:pPr>
    </w:p>
    <w:p w:rsidRPr="00F579C0" w:rsidR="00E83AA9" w:rsidP="00E83AA9" w:rsidRDefault="00E83AA9" w14:paraId="522695CE" w14:textId="77777777">
      <w:pPr>
        <w:pStyle w:val="ListParagraph"/>
        <w:numPr>
          <w:ilvl w:val="1"/>
          <w:numId w:val="8"/>
        </w:numPr>
        <w:shd w:val="clear" w:color="auto" w:fill="FFFFFF"/>
        <w:spacing w:after="120" w:line="240" w:lineRule="auto"/>
        <w:ind w:left="567" w:right="237" w:hanging="573"/>
        <w:contextualSpacing w:val="0"/>
        <w:rPr>
          <w:rFonts w:ascii="Arial" w:hAnsi="Arial" w:eastAsia="Times New Roman" w:cs="Arial"/>
          <w:szCs w:val="24"/>
          <w:lang w:eastAsia="en-GB"/>
        </w:rPr>
      </w:pPr>
      <w:r w:rsidRPr="38331A7A">
        <w:rPr>
          <w:rFonts w:ascii="Arial" w:hAnsi="Arial" w:eastAsia="Times New Roman" w:cs="Arial"/>
          <w:lang w:eastAsia="en-GB"/>
        </w:rPr>
        <w:t xml:space="preserve">Extenuating circumstances are circumstances that have had a negative impact so as to: </w:t>
      </w:r>
    </w:p>
    <w:p w:rsidRPr="00F579C0" w:rsidR="00E83AA9" w:rsidP="00E83AA9" w:rsidRDefault="00E83AA9" w14:paraId="2D4DE943" w14:textId="77777777">
      <w:pPr>
        <w:pStyle w:val="ListParagraph"/>
        <w:numPr>
          <w:ilvl w:val="0"/>
          <w:numId w:val="16"/>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cause the student to perform less well in their assessed work than they may otherwise have been expected to do; and/or</w:t>
      </w:r>
    </w:p>
    <w:p w:rsidRPr="00F579C0" w:rsidR="00E83AA9" w:rsidP="00E83AA9" w:rsidRDefault="00E83AA9" w14:paraId="20FA789F" w14:textId="33CF6231">
      <w:pPr>
        <w:pStyle w:val="ListParagraph"/>
        <w:numPr>
          <w:ilvl w:val="0"/>
          <w:numId w:val="16"/>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impact their ability to attend </w:t>
      </w:r>
      <w:r w:rsidR="007C4B6D">
        <w:rPr>
          <w:rFonts w:ascii="Arial" w:hAnsi="Arial" w:eastAsia="Times New Roman" w:cs="Arial"/>
          <w:szCs w:val="24"/>
          <w:lang w:eastAsia="en-GB"/>
        </w:rPr>
        <w:t xml:space="preserve">classes, </w:t>
      </w:r>
      <w:r w:rsidRPr="00F579C0">
        <w:rPr>
          <w:rFonts w:ascii="Arial" w:hAnsi="Arial" w:eastAsia="Times New Roman" w:cs="Arial"/>
          <w:szCs w:val="24"/>
          <w:lang w:eastAsia="en-GB"/>
        </w:rPr>
        <w:t>examinations</w:t>
      </w:r>
      <w:r w:rsidR="007C4B6D">
        <w:rPr>
          <w:rFonts w:ascii="Arial" w:hAnsi="Arial" w:eastAsia="Times New Roman" w:cs="Arial"/>
          <w:szCs w:val="24"/>
          <w:lang w:eastAsia="en-GB"/>
        </w:rPr>
        <w:t xml:space="preserve"> or </w:t>
      </w:r>
      <w:r w:rsidRPr="00F579C0">
        <w:rPr>
          <w:rFonts w:ascii="Arial" w:hAnsi="Arial" w:eastAsia="Times New Roman" w:cs="Arial"/>
          <w:szCs w:val="24"/>
          <w:lang w:eastAsia="en-GB"/>
        </w:rPr>
        <w:t>practical assessments; and/or</w:t>
      </w:r>
    </w:p>
    <w:p w:rsidRPr="00F579C0" w:rsidR="00E83AA9" w:rsidP="00E83AA9" w:rsidRDefault="00E83AA9" w14:paraId="43F237F7" w14:textId="77777777">
      <w:pPr>
        <w:pStyle w:val="ListParagraph"/>
        <w:numPr>
          <w:ilvl w:val="0"/>
          <w:numId w:val="16"/>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submit work to deadlines. </w:t>
      </w:r>
    </w:p>
    <w:p w:rsidRPr="00F579C0" w:rsidR="00E83AA9" w:rsidP="5C41F4ED" w:rsidRDefault="00E83AA9" w14:paraId="3E59CE28" w14:textId="35F6D23C">
      <w:pPr>
        <w:shd w:val="clear" w:color="auto" w:fill="FFFFFF" w:themeFill="background1"/>
        <w:tabs>
          <w:tab w:val="left" w:pos="567"/>
        </w:tabs>
        <w:ind w:right="237"/>
        <w:rPr>
          <w:rFonts w:eastAsia="Times New Roman"/>
        </w:rPr>
      </w:pPr>
      <w:r w:rsidRPr="00F579C0">
        <w:rPr>
          <w:rFonts w:eastAsia="Times New Roman"/>
          <w:szCs w:val="24"/>
        </w:rPr>
        <w:tab/>
      </w:r>
      <w:r w:rsidRPr="5C41F4ED">
        <w:rPr>
          <w:rFonts w:eastAsia="Times New Roman"/>
        </w:rPr>
        <w:t xml:space="preserve">They should normally be beyond the student’s control (*see 1.4.1 below). </w:t>
      </w:r>
    </w:p>
    <w:p w:rsidRPr="00F579C0" w:rsidR="00E83AA9" w:rsidP="009F0656" w:rsidRDefault="00E83AA9" w14:paraId="16469CB1" w14:textId="681CB65B">
      <w:pPr>
        <w:pStyle w:val="ListParagraph"/>
        <w:numPr>
          <w:ilvl w:val="2"/>
          <w:numId w:val="8"/>
        </w:numPr>
        <w:shd w:val="clear" w:color="auto" w:fill="FFFFFF"/>
        <w:spacing w:after="120" w:line="240" w:lineRule="auto"/>
        <w:ind w:left="567" w:right="237" w:hanging="567"/>
        <w:contextualSpacing w:val="0"/>
        <w:rPr>
          <w:rFonts w:ascii="Arial" w:hAnsi="Arial" w:eastAsia="Times New Roman" w:cs="Arial"/>
          <w:szCs w:val="24"/>
          <w:lang w:eastAsia="en-GB"/>
        </w:rPr>
      </w:pPr>
      <w:r w:rsidRPr="38331A7A">
        <w:rPr>
          <w:rFonts w:ascii="Arial" w:hAnsi="Arial" w:eastAsia="Times New Roman" w:cs="Arial"/>
          <w:lang w:eastAsia="en-GB"/>
        </w:rPr>
        <w:t xml:space="preserve">*The University recognises that some students will start their studies with family or caring responsibilities that are likely to affect their studies. Their circumstances may not be “unexpected” or “out of control” and it may be difficult for the Mitigation Committee to judge how </w:t>
      </w:r>
      <w:r w:rsidR="007C4B6D">
        <w:rPr>
          <w:rFonts w:ascii="Arial" w:hAnsi="Arial" w:eastAsia="Times New Roman" w:cs="Arial"/>
          <w:lang w:eastAsia="en-GB"/>
        </w:rPr>
        <w:t>significant</w:t>
      </w:r>
      <w:r w:rsidRPr="38331A7A" w:rsidR="007C4B6D">
        <w:rPr>
          <w:rFonts w:ascii="Arial" w:hAnsi="Arial" w:eastAsia="Times New Roman" w:cs="Arial"/>
          <w:lang w:eastAsia="en-GB"/>
        </w:rPr>
        <w:t xml:space="preserve"> </w:t>
      </w:r>
      <w:r w:rsidRPr="38331A7A">
        <w:rPr>
          <w:rFonts w:ascii="Arial" w:hAnsi="Arial" w:eastAsia="Times New Roman" w:cs="Arial"/>
          <w:lang w:eastAsia="en-GB"/>
        </w:rPr>
        <w:t>an impact those circumstances will have. However, where those circumstances are p</w:t>
      </w:r>
      <w:r w:rsidR="00AE221E">
        <w:rPr>
          <w:rFonts w:ascii="Arial" w:hAnsi="Arial" w:eastAsia="Times New Roman" w:cs="Arial"/>
          <w:lang w:eastAsia="en-GB"/>
        </w:rPr>
        <w:t xml:space="preserve">lacing </w:t>
      </w:r>
      <w:r w:rsidRPr="38331A7A">
        <w:rPr>
          <w:rFonts w:ascii="Arial" w:hAnsi="Arial" w:eastAsia="Times New Roman" w:cs="Arial"/>
          <w:lang w:eastAsia="en-GB"/>
        </w:rPr>
        <w:t xml:space="preserve">the student at a disadvantage compared with other students, it would be unfair to exclude the student from the consideration process and so applications for mitigation on these grounds should be considered. </w:t>
      </w:r>
    </w:p>
    <w:p w:rsidRPr="00F579C0" w:rsidR="00E83AA9" w:rsidP="00E83AA9" w:rsidRDefault="00E83AA9" w14:paraId="2DF5E2B5" w14:textId="198F2F55">
      <w:pPr>
        <w:pStyle w:val="ListParagraph"/>
        <w:numPr>
          <w:ilvl w:val="1"/>
          <w:numId w:val="8"/>
        </w:numPr>
        <w:shd w:val="clear" w:color="auto" w:fill="FFFFFF"/>
        <w:spacing w:after="120" w:line="240" w:lineRule="auto"/>
        <w:ind w:left="567" w:right="237" w:hanging="573"/>
        <w:contextualSpacing w:val="0"/>
        <w:rPr>
          <w:rFonts w:ascii="Arial" w:hAnsi="Arial" w:eastAsia="Times New Roman" w:cs="Arial"/>
          <w:szCs w:val="24"/>
          <w:lang w:eastAsia="en-GB"/>
        </w:rPr>
      </w:pPr>
      <w:r w:rsidRPr="38331A7A">
        <w:rPr>
          <w:rFonts w:ascii="Arial" w:hAnsi="Arial" w:eastAsia="Times New Roman" w:cs="Arial"/>
          <w:lang w:eastAsia="en-GB"/>
        </w:rPr>
        <w:t xml:space="preserve">Applications from students for mitigation with regard to any extenuating circumstances will be considered by Mitigation Committees </w:t>
      </w:r>
      <w:r w:rsidR="007C4B6D">
        <w:rPr>
          <w:rFonts w:ascii="Arial" w:hAnsi="Arial" w:eastAsia="Times New Roman" w:cs="Arial"/>
          <w:lang w:eastAsia="en-GB"/>
        </w:rPr>
        <w:t xml:space="preserve">or their Chairs </w:t>
      </w:r>
      <w:r w:rsidRPr="38331A7A">
        <w:rPr>
          <w:rFonts w:ascii="Arial" w:hAnsi="Arial" w:eastAsia="Times New Roman" w:cs="Arial"/>
          <w:lang w:eastAsia="en-GB"/>
        </w:rPr>
        <w:t>on behalf of Boards of Examiners where they are submitted in line with the procedures set out in this Annex.</w:t>
      </w:r>
    </w:p>
    <w:p w:rsidR="00E83AA9" w:rsidP="6DE875E4" w:rsidRDefault="00E83AA9" w14:paraId="4D06FA44" w14:textId="610ED52B">
      <w:pPr>
        <w:pStyle w:val="ListParagraph"/>
        <w:numPr>
          <w:ilvl w:val="1"/>
          <w:numId w:val="8"/>
        </w:numPr>
        <w:shd w:val="clear" w:color="auto" w:fill="FFFFFF" w:themeFill="background1"/>
        <w:spacing w:after="120" w:line="240" w:lineRule="auto"/>
        <w:ind w:left="567" w:right="237" w:hanging="573"/>
        <w:rPr>
          <w:rFonts w:ascii="Arial" w:hAnsi="Arial" w:eastAsia="Times New Roman" w:cs="Arial"/>
          <w:lang w:eastAsia="en-GB"/>
        </w:rPr>
      </w:pPr>
      <w:r w:rsidRPr="38331A7A">
        <w:rPr>
          <w:rFonts w:ascii="Arial" w:hAnsi="Arial" w:eastAsia="Times New Roman" w:cs="Arial"/>
          <w:lang w:eastAsia="en-GB"/>
        </w:rPr>
        <w:t>It is recognised by the University that students who are applying for mitigation due to extenuating circumstances may be anxious, distressed or unwell. Students can expect to be treated compassionately and in a way that is fair and consistent across the student body.</w:t>
      </w:r>
    </w:p>
    <w:p w:rsidRPr="00F579C0" w:rsidR="007C4B6D" w:rsidP="009F0656" w:rsidRDefault="007C4B6D" w14:paraId="1114CAA9" w14:textId="77777777">
      <w:pPr>
        <w:pStyle w:val="ListParagraph"/>
        <w:shd w:val="clear" w:color="auto" w:fill="FFFFFF" w:themeFill="background1"/>
        <w:spacing w:after="120" w:line="240" w:lineRule="auto"/>
        <w:ind w:left="567" w:right="237"/>
        <w:rPr>
          <w:rFonts w:ascii="Arial" w:hAnsi="Arial" w:eastAsia="Times New Roman" w:cs="Arial"/>
          <w:lang w:eastAsia="en-GB"/>
        </w:rPr>
      </w:pPr>
    </w:p>
    <w:p w:rsidR="5C41F4ED" w:rsidP="5C41F4ED" w:rsidRDefault="5C41F4ED" w14:paraId="0D260260" w14:textId="7482EB04">
      <w:pPr>
        <w:pStyle w:val="ListParagraph"/>
        <w:numPr>
          <w:ilvl w:val="1"/>
          <w:numId w:val="8"/>
        </w:numPr>
        <w:shd w:val="clear" w:color="auto" w:fill="FFFFFF" w:themeFill="background1"/>
        <w:spacing w:after="120" w:line="240" w:lineRule="auto"/>
        <w:ind w:left="567" w:right="237" w:hanging="573"/>
        <w:rPr>
          <w:rFonts w:ascii="Arial" w:hAnsi="Arial" w:eastAsia="Times New Roman" w:cs="Arial"/>
          <w:lang w:eastAsia="en-GB"/>
        </w:rPr>
      </w:pPr>
      <w:r w:rsidRPr="38331A7A">
        <w:rPr>
          <w:rFonts w:ascii="Arial" w:hAnsi="Arial" w:eastAsia="Times New Roman" w:cs="Arial"/>
          <w:lang w:eastAsia="en-GB"/>
        </w:rPr>
        <w:t xml:space="preserve">The University’s duty to make reasonable adjustments and take appropriate action to offset any disadvantage arising from its standard arrangements is not diminished where these arrangements are matters of academic regulation or other conventions and rules such as those set out in the Credit Framework. All of the University’s </w:t>
      </w:r>
      <w:r w:rsidR="007C4B6D">
        <w:rPr>
          <w:rFonts w:ascii="Arial" w:hAnsi="Arial" w:eastAsia="Times New Roman" w:cs="Arial"/>
          <w:lang w:eastAsia="en-GB"/>
        </w:rPr>
        <w:t xml:space="preserve">conventions, regulations, </w:t>
      </w:r>
      <w:r w:rsidRPr="38331A7A">
        <w:rPr>
          <w:rFonts w:ascii="Arial" w:hAnsi="Arial" w:eastAsia="Times New Roman" w:cs="Arial"/>
          <w:lang w:eastAsia="en-GB"/>
        </w:rPr>
        <w:t xml:space="preserve">policies, processes and procedures may be varied where to do so would be reasonable, not compromise academic standards or the achievement of core competences and would remove the disadvantage to the student or students concerned. Divisions should contact the QACO team for advice and guidance on how to proceed where such circumstances arise. </w:t>
      </w:r>
    </w:p>
    <w:p w:rsidRPr="00F579C0" w:rsidR="00E83AA9" w:rsidP="00E83AA9" w:rsidRDefault="00E83AA9" w14:paraId="1FBBEB9B" w14:textId="77777777">
      <w:pPr>
        <w:pStyle w:val="ListParagraph"/>
        <w:shd w:val="clear" w:color="auto" w:fill="FFFFFF"/>
        <w:spacing w:after="120" w:line="240" w:lineRule="auto"/>
        <w:ind w:left="426" w:right="237"/>
        <w:contextualSpacing w:val="0"/>
        <w:jc w:val="both"/>
        <w:rPr>
          <w:rFonts w:ascii="Arial" w:hAnsi="Arial" w:eastAsia="Times New Roman" w:cs="Arial"/>
          <w:szCs w:val="24"/>
          <w:lang w:eastAsia="en-GB"/>
        </w:rPr>
      </w:pPr>
    </w:p>
    <w:p w:rsidRPr="00F579C0" w:rsidR="00E83AA9" w:rsidP="00E83AA9" w:rsidRDefault="00E83AA9" w14:paraId="074A582D" w14:textId="77777777">
      <w:pPr>
        <w:pStyle w:val="Heading1"/>
        <w:rPr>
          <w:rFonts w:eastAsia="Times New Roman"/>
        </w:rPr>
      </w:pPr>
      <w:bookmarkStart w:name="_Toc114557646" w:id="1"/>
      <w:r w:rsidRPr="00F579C0">
        <w:rPr>
          <w:rFonts w:eastAsia="Times New Roman"/>
        </w:rPr>
        <w:t>Applications for Mitigation</w:t>
      </w:r>
      <w:bookmarkEnd w:id="1"/>
    </w:p>
    <w:p w:rsidRPr="00F579C0" w:rsidR="00E83AA9" w:rsidP="00E83AA9" w:rsidRDefault="00E83AA9" w14:paraId="4A257909" w14:textId="77777777">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If a student believes that their academic performance has been negatively impacted by their extenuating circumstances, they should submit an application for mitigation as soon as possible and within the deadlines given in section 3. Supporting evidence should be included where required (see </w:t>
      </w:r>
      <w:r w:rsidRPr="00F579C0">
        <w:rPr>
          <w:rFonts w:ascii="Arial" w:hAnsi="Arial" w:eastAsia="Times New Roman" w:cs="Arial"/>
          <w:szCs w:val="24"/>
          <w:lang w:eastAsia="en-GB"/>
        </w:rPr>
        <w:t>section 5 for more information on acceptable evidence). The following are some examples of extenuating circumstances:</w:t>
      </w:r>
    </w:p>
    <w:p w:rsidRPr="00F579C0" w:rsidR="00E83AA9" w:rsidP="00E83AA9" w:rsidRDefault="00E83AA9" w14:paraId="1AA11B13" w14:textId="77777777">
      <w:pPr>
        <w:pStyle w:val="ListParagraph"/>
        <w:numPr>
          <w:ilvl w:val="0"/>
          <w:numId w:val="10"/>
        </w:numPr>
        <w:shd w:val="clear" w:color="auto" w:fill="FFFFFF"/>
        <w:spacing w:after="120" w:line="240" w:lineRule="auto"/>
        <w:ind w:left="993" w:right="237" w:hanging="426"/>
        <w:contextualSpacing w:val="0"/>
        <w:jc w:val="both"/>
        <w:rPr>
          <w:rFonts w:ascii="Arial" w:hAnsi="Arial" w:eastAsia="Times New Roman" w:cs="Arial"/>
          <w:szCs w:val="24"/>
          <w:lang w:eastAsia="en-GB"/>
        </w:rPr>
      </w:pPr>
      <w:r w:rsidRPr="00F579C0">
        <w:rPr>
          <w:rFonts w:ascii="Arial" w:hAnsi="Arial" w:eastAsia="Times New Roman" w:cs="Arial"/>
          <w:szCs w:val="24"/>
          <w:lang w:eastAsia="en-GB"/>
        </w:rPr>
        <w:t>Serious personal illness</w:t>
      </w:r>
    </w:p>
    <w:p w:rsidRPr="00F579C0" w:rsidR="00E83AA9" w:rsidP="00E83AA9" w:rsidRDefault="00E83AA9" w14:paraId="31986259" w14:textId="77777777">
      <w:pPr>
        <w:pStyle w:val="ListParagraph"/>
        <w:numPr>
          <w:ilvl w:val="0"/>
          <w:numId w:val="10"/>
        </w:numPr>
        <w:shd w:val="clear" w:color="auto" w:fill="FFFFFF"/>
        <w:spacing w:after="120" w:line="240" w:lineRule="auto"/>
        <w:ind w:left="993" w:right="237" w:hanging="426"/>
        <w:contextualSpacing w:val="0"/>
        <w:jc w:val="both"/>
        <w:rPr>
          <w:rFonts w:ascii="Arial" w:hAnsi="Arial" w:eastAsia="Times New Roman" w:cs="Arial"/>
          <w:szCs w:val="24"/>
          <w:lang w:eastAsia="en-GB"/>
        </w:rPr>
      </w:pPr>
      <w:r w:rsidRPr="00F579C0">
        <w:rPr>
          <w:rFonts w:ascii="Arial" w:hAnsi="Arial" w:eastAsia="Times New Roman" w:cs="Arial"/>
          <w:szCs w:val="24"/>
          <w:lang w:eastAsia="en-GB"/>
        </w:rPr>
        <w:t xml:space="preserve">Serious personal accident or injury or hospitalisation </w:t>
      </w:r>
    </w:p>
    <w:p w:rsidRPr="00F579C0" w:rsidR="00E83AA9" w:rsidP="00E83AA9" w:rsidRDefault="00E83AA9" w14:paraId="3E01BDE2" w14:textId="77777777">
      <w:pPr>
        <w:pStyle w:val="ListParagraph"/>
        <w:numPr>
          <w:ilvl w:val="0"/>
          <w:numId w:val="10"/>
        </w:numPr>
        <w:shd w:val="clear" w:color="auto" w:fill="FFFFFF"/>
        <w:spacing w:after="120" w:line="240" w:lineRule="auto"/>
        <w:ind w:left="993" w:right="237" w:hanging="426"/>
        <w:contextualSpacing w:val="0"/>
        <w:jc w:val="both"/>
        <w:rPr>
          <w:rFonts w:ascii="Arial" w:hAnsi="Arial" w:eastAsia="Times New Roman" w:cs="Arial"/>
          <w:szCs w:val="24"/>
          <w:lang w:eastAsia="en-GB"/>
        </w:rPr>
      </w:pPr>
      <w:r w:rsidRPr="00F579C0">
        <w:rPr>
          <w:rFonts w:ascii="Arial" w:hAnsi="Arial" w:eastAsia="Times New Roman" w:cs="Arial"/>
          <w:szCs w:val="24"/>
          <w:lang w:eastAsia="en-GB"/>
        </w:rPr>
        <w:t xml:space="preserve">Significant adverse personal or family circumstance </w:t>
      </w:r>
    </w:p>
    <w:p w:rsidRPr="00F579C0" w:rsidR="00E83AA9" w:rsidP="00E83AA9" w:rsidRDefault="00E83AA9" w14:paraId="63DE60DD" w14:textId="77777777">
      <w:pPr>
        <w:pStyle w:val="ListParagraph"/>
        <w:numPr>
          <w:ilvl w:val="0"/>
          <w:numId w:val="10"/>
        </w:numPr>
        <w:shd w:val="clear" w:color="auto" w:fill="FFFFFF"/>
        <w:spacing w:after="120" w:line="240" w:lineRule="auto"/>
        <w:ind w:left="993" w:right="237" w:hanging="426"/>
        <w:contextualSpacing w:val="0"/>
        <w:jc w:val="both"/>
        <w:rPr>
          <w:rFonts w:ascii="Arial" w:hAnsi="Arial" w:eastAsia="Times New Roman" w:cs="Arial"/>
          <w:szCs w:val="24"/>
          <w:lang w:eastAsia="en-GB"/>
        </w:rPr>
      </w:pPr>
      <w:r w:rsidRPr="00F579C0">
        <w:rPr>
          <w:rFonts w:ascii="Arial" w:hAnsi="Arial" w:eastAsia="Times New Roman" w:cs="Arial"/>
          <w:szCs w:val="24"/>
          <w:lang w:eastAsia="en-GB"/>
        </w:rPr>
        <w:t>Worsening or acute episode of an existing medical condition (</w:t>
      </w:r>
      <w:r w:rsidRPr="00F579C0">
        <w:rPr>
          <w:rFonts w:ascii="Arial" w:hAnsi="Arial" w:eastAsia="Times New Roman" w:cs="Arial"/>
          <w:iCs/>
          <w:szCs w:val="24"/>
          <w:lang w:eastAsia="en-GB"/>
        </w:rPr>
        <w:t xml:space="preserve">see </w:t>
      </w:r>
      <w:r>
        <w:rPr>
          <w:rFonts w:ascii="Arial" w:hAnsi="Arial" w:eastAsia="Times New Roman" w:cs="Arial"/>
          <w:iCs/>
          <w:szCs w:val="24"/>
          <w:lang w:eastAsia="en-GB"/>
        </w:rPr>
        <w:t xml:space="preserve">sections </w:t>
      </w:r>
      <w:r w:rsidRPr="00F579C0">
        <w:rPr>
          <w:rFonts w:ascii="Arial" w:hAnsi="Arial" w:eastAsia="Times New Roman" w:cs="Arial"/>
          <w:iCs/>
          <w:szCs w:val="24"/>
          <w:lang w:eastAsia="en-GB"/>
        </w:rPr>
        <w:t>7.2 – 7.3 for guidance on the nature of the evidence required in such cases</w:t>
      </w:r>
      <w:r w:rsidRPr="00F579C0">
        <w:rPr>
          <w:rFonts w:ascii="Arial" w:hAnsi="Arial" w:eastAsia="Times New Roman" w:cs="Arial"/>
          <w:szCs w:val="24"/>
          <w:lang w:eastAsia="en-GB"/>
        </w:rPr>
        <w:t xml:space="preserve">). </w:t>
      </w:r>
    </w:p>
    <w:p w:rsidRPr="00F579C0" w:rsidR="00E83AA9" w:rsidP="00E83AA9" w:rsidRDefault="00E83AA9" w14:paraId="6536EF5A" w14:textId="77777777">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Students are required to submit applications to the </w:t>
      </w:r>
      <w:r>
        <w:rPr>
          <w:rFonts w:ascii="Arial" w:hAnsi="Arial" w:eastAsia="Times New Roman" w:cs="Arial"/>
          <w:szCs w:val="24"/>
          <w:lang w:eastAsia="en-GB"/>
        </w:rPr>
        <w:t xml:space="preserve">Divisional </w:t>
      </w:r>
      <w:r w:rsidRPr="00F579C0">
        <w:rPr>
          <w:rFonts w:ascii="Arial" w:hAnsi="Arial" w:eastAsia="Times New Roman" w:cs="Arial"/>
          <w:szCs w:val="24"/>
          <w:lang w:eastAsia="en-GB"/>
        </w:rPr>
        <w:t xml:space="preserve">Administrative Office. The procedure is explained in </w:t>
      </w:r>
      <w:r>
        <w:rPr>
          <w:rFonts w:ascii="Arial" w:hAnsi="Arial" w:eastAsia="Times New Roman" w:cs="Arial"/>
          <w:szCs w:val="24"/>
          <w:lang w:eastAsia="en-GB"/>
        </w:rPr>
        <w:t>s</w:t>
      </w:r>
      <w:r w:rsidRPr="00F579C0">
        <w:rPr>
          <w:rFonts w:ascii="Arial" w:hAnsi="Arial" w:eastAsia="Times New Roman" w:cs="Arial"/>
          <w:szCs w:val="24"/>
          <w:lang w:eastAsia="en-GB"/>
        </w:rPr>
        <w:t xml:space="preserve">ection 3. </w:t>
      </w:r>
    </w:p>
    <w:p w:rsidRPr="00F579C0" w:rsidR="00E83AA9" w:rsidP="00E83AA9" w:rsidRDefault="00E83AA9" w14:paraId="07892D36" w14:textId="77777777">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The University will not normally consider applications for mitigation in cases where the student was directly responsible for the circumstances or where a student could reasonably have avoided the situation or acted to limit the impact of the circumstances. </w:t>
      </w:r>
    </w:p>
    <w:p w:rsidRPr="00F579C0" w:rsidR="00E83AA9" w:rsidP="00E83AA9" w:rsidRDefault="00E83AA9" w14:paraId="3498181B" w14:textId="77777777">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The following are examples of circumstances which would not normally be considered appropriate for mitigation (the list is not exhaustive):</w:t>
      </w:r>
    </w:p>
    <w:p w:rsidRPr="00F579C0" w:rsidR="00E83AA9" w:rsidP="00E83AA9" w:rsidRDefault="00E83AA9" w14:paraId="49E19315" w14:textId="77777777">
      <w:pPr>
        <w:pStyle w:val="ListParagraph"/>
        <w:numPr>
          <w:ilvl w:val="0"/>
          <w:numId w:val="11"/>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Completing coursework too late and missing deadlines because of computer or transport difficulties</w:t>
      </w:r>
    </w:p>
    <w:p w:rsidRPr="00F579C0" w:rsidR="00E83AA9" w:rsidP="00E83AA9" w:rsidRDefault="00E83AA9" w14:paraId="6DD46D36" w14:textId="77777777">
      <w:pPr>
        <w:pStyle w:val="ListParagraph"/>
        <w:numPr>
          <w:ilvl w:val="0"/>
          <w:numId w:val="11"/>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Losing work not backed up digitally</w:t>
      </w:r>
    </w:p>
    <w:p w:rsidRPr="00F579C0" w:rsidR="00E83AA9" w:rsidP="00E83AA9" w:rsidRDefault="00E83AA9" w14:paraId="096E8FA1" w14:textId="77777777">
      <w:pPr>
        <w:pStyle w:val="ListParagraph"/>
        <w:numPr>
          <w:ilvl w:val="0"/>
          <w:numId w:val="11"/>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Failure to make alternative travel plans in the face of known disruptions</w:t>
      </w:r>
    </w:p>
    <w:p w:rsidRPr="00F579C0" w:rsidR="00E83AA9" w:rsidP="00E83AA9" w:rsidRDefault="00E83AA9" w14:paraId="7188D340" w14:textId="77777777">
      <w:pPr>
        <w:pStyle w:val="ListParagraph"/>
        <w:numPr>
          <w:ilvl w:val="0"/>
          <w:numId w:val="11"/>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Normal employment commitments</w:t>
      </w:r>
    </w:p>
    <w:p w:rsidRPr="00F579C0" w:rsidR="00E83AA9" w:rsidP="00E83AA9" w:rsidRDefault="00E83AA9" w14:paraId="291D2E32" w14:textId="77777777">
      <w:pPr>
        <w:pStyle w:val="ListParagraph"/>
        <w:numPr>
          <w:ilvl w:val="0"/>
          <w:numId w:val="11"/>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Normal financial/budgetary commitments</w:t>
      </w:r>
    </w:p>
    <w:p w:rsidRPr="00F579C0" w:rsidR="00E83AA9" w:rsidP="00E83AA9" w:rsidRDefault="00E83AA9" w14:paraId="5F81F606" w14:textId="184AF1F0">
      <w:pPr>
        <w:pStyle w:val="ListParagraph"/>
        <w:numPr>
          <w:ilvl w:val="0"/>
          <w:numId w:val="11"/>
        </w:numPr>
        <w:shd w:val="clear" w:color="auto" w:fill="FFFFFF"/>
        <w:spacing w:after="120" w:line="240" w:lineRule="auto"/>
        <w:ind w:left="993" w:right="237" w:hanging="426"/>
        <w:contextualSpacing w:val="0"/>
        <w:jc w:val="both"/>
        <w:rPr>
          <w:rFonts w:ascii="Arial" w:hAnsi="Arial" w:eastAsia="Times New Roman" w:cs="Arial"/>
          <w:szCs w:val="24"/>
          <w:lang w:eastAsia="en-GB"/>
        </w:rPr>
      </w:pPr>
      <w:r w:rsidRPr="00F579C0">
        <w:rPr>
          <w:rFonts w:ascii="Arial" w:hAnsi="Arial" w:eastAsia="Times New Roman" w:cs="Arial"/>
          <w:szCs w:val="24"/>
          <w:lang w:eastAsia="en-GB"/>
        </w:rPr>
        <w:t>Failing to read an examination timetable</w:t>
      </w:r>
      <w:r w:rsidR="001715E6">
        <w:rPr>
          <w:rFonts w:ascii="Arial" w:hAnsi="Arial" w:eastAsia="Times New Roman" w:cs="Arial"/>
          <w:szCs w:val="24"/>
          <w:lang w:eastAsia="en-GB"/>
        </w:rPr>
        <w:t xml:space="preserve"> or other instructions</w:t>
      </w:r>
      <w:r w:rsidRPr="00F579C0">
        <w:rPr>
          <w:rFonts w:ascii="Arial" w:hAnsi="Arial" w:eastAsia="Times New Roman" w:cs="Arial"/>
          <w:szCs w:val="24"/>
          <w:lang w:eastAsia="en-GB"/>
        </w:rPr>
        <w:t xml:space="preserve"> correctly</w:t>
      </w:r>
    </w:p>
    <w:p w:rsidR="00E83AA9" w:rsidP="00E83AA9" w:rsidRDefault="00E83AA9" w14:paraId="17C8376C" w14:textId="68C7863B">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It is accepted that, on occasion, it would be fair to take into account an unexpected crisis involving the examples listed in </w:t>
      </w:r>
      <w:r>
        <w:rPr>
          <w:rFonts w:ascii="Arial" w:hAnsi="Arial" w:eastAsia="Times New Roman" w:cs="Arial"/>
          <w:szCs w:val="24"/>
          <w:lang w:eastAsia="en-GB"/>
        </w:rPr>
        <w:t xml:space="preserve">section </w:t>
      </w:r>
      <w:r w:rsidRPr="00F579C0">
        <w:rPr>
          <w:rFonts w:ascii="Arial" w:hAnsi="Arial" w:eastAsia="Times New Roman" w:cs="Arial"/>
          <w:szCs w:val="24"/>
          <w:lang w:eastAsia="en-GB"/>
        </w:rPr>
        <w:t>2.4. This might be appropriate, for example, if it was clear that the crisis had significantly impacted upon the student’s performance or ability to submit coursework.</w:t>
      </w:r>
    </w:p>
    <w:p w:rsidRPr="009F0656" w:rsidR="001715E6" w:rsidP="009F0656" w:rsidRDefault="001715E6" w14:paraId="497573A7" w14:textId="65210CFF">
      <w:pPr>
        <w:pStyle w:val="ListParagraph"/>
        <w:shd w:val="clear" w:color="auto" w:fill="FFFFFF"/>
        <w:spacing w:after="120" w:line="240" w:lineRule="auto"/>
        <w:ind w:left="567" w:right="237"/>
        <w:contextualSpacing w:val="0"/>
        <w:rPr>
          <w:rFonts w:ascii="Arial" w:hAnsi="Arial" w:eastAsia="Times New Roman" w:cs="Arial"/>
          <w:b/>
          <w:bCs/>
          <w:szCs w:val="24"/>
          <w:lang w:eastAsia="en-GB"/>
        </w:rPr>
      </w:pPr>
      <w:r w:rsidRPr="009F0656">
        <w:rPr>
          <w:rFonts w:ascii="Arial" w:hAnsi="Arial" w:eastAsia="Times New Roman" w:cs="Arial"/>
          <w:b/>
          <w:bCs/>
          <w:szCs w:val="24"/>
          <w:lang w:eastAsia="en-GB"/>
        </w:rPr>
        <w:t>Delayed Assessment</w:t>
      </w:r>
    </w:p>
    <w:p w:rsidR="00D17895" w:rsidP="00E83AA9" w:rsidRDefault="00D17895" w14:paraId="2574339C" w14:textId="6889940F">
      <w:pPr>
        <w:pStyle w:val="ListParagraph"/>
        <w:numPr>
          <w:ilvl w:val="1"/>
          <w:numId w:val="9"/>
        </w:numPr>
        <w:shd w:val="clear" w:color="auto" w:fill="FFFFFF"/>
        <w:spacing w:after="120" w:line="240" w:lineRule="auto"/>
        <w:ind w:left="567" w:right="237" w:hanging="567"/>
        <w:contextualSpacing w:val="0"/>
        <w:rPr>
          <w:rFonts w:ascii="Arial" w:hAnsi="Arial" w:eastAsia="Times New Roman" w:cs="Arial"/>
          <w:szCs w:val="24"/>
          <w:lang w:eastAsia="en-GB"/>
        </w:rPr>
      </w:pPr>
      <w:r>
        <w:rPr>
          <w:rFonts w:ascii="Arial" w:hAnsi="Arial" w:eastAsia="Times New Roman" w:cs="Arial"/>
          <w:szCs w:val="24"/>
          <w:lang w:eastAsia="en-GB"/>
        </w:rPr>
        <w:t>It is possible that</w:t>
      </w:r>
      <w:r w:rsidR="00A75B8D">
        <w:rPr>
          <w:rFonts w:ascii="Arial" w:hAnsi="Arial" w:eastAsia="Times New Roman" w:cs="Arial"/>
          <w:szCs w:val="24"/>
          <w:lang w:eastAsia="en-GB"/>
        </w:rPr>
        <w:t>,</w:t>
      </w:r>
      <w:r>
        <w:rPr>
          <w:rFonts w:ascii="Arial" w:hAnsi="Arial" w:eastAsia="Times New Roman" w:cs="Arial"/>
          <w:szCs w:val="24"/>
          <w:lang w:eastAsia="en-GB"/>
        </w:rPr>
        <w:t xml:space="preserve"> where students are </w:t>
      </w:r>
      <w:r w:rsidR="001715E6">
        <w:rPr>
          <w:rFonts w:ascii="Arial" w:hAnsi="Arial" w:eastAsia="Times New Roman" w:cs="Arial"/>
          <w:szCs w:val="24"/>
          <w:lang w:eastAsia="en-GB"/>
        </w:rPr>
        <w:t>significan</w:t>
      </w:r>
      <w:r w:rsidR="002437CA">
        <w:rPr>
          <w:rFonts w:ascii="Arial" w:hAnsi="Arial" w:eastAsia="Times New Roman" w:cs="Arial"/>
          <w:szCs w:val="24"/>
          <w:lang w:eastAsia="en-GB"/>
        </w:rPr>
        <w:t>tl</w:t>
      </w:r>
      <w:r w:rsidR="001715E6">
        <w:rPr>
          <w:rFonts w:ascii="Arial" w:hAnsi="Arial" w:eastAsia="Times New Roman" w:cs="Arial"/>
          <w:szCs w:val="24"/>
          <w:lang w:eastAsia="en-GB"/>
        </w:rPr>
        <w:t xml:space="preserve">y </w:t>
      </w:r>
      <w:r>
        <w:rPr>
          <w:rFonts w:ascii="Arial" w:hAnsi="Arial" w:eastAsia="Times New Roman" w:cs="Arial"/>
          <w:szCs w:val="24"/>
          <w:lang w:eastAsia="en-GB"/>
        </w:rPr>
        <w:t>affected by their extenuating circumstances</w:t>
      </w:r>
      <w:r w:rsidR="00A75B8D">
        <w:rPr>
          <w:rFonts w:ascii="Arial" w:hAnsi="Arial" w:eastAsia="Times New Roman" w:cs="Arial"/>
          <w:szCs w:val="24"/>
          <w:lang w:eastAsia="en-GB"/>
        </w:rPr>
        <w:t>,</w:t>
      </w:r>
      <w:r>
        <w:rPr>
          <w:rFonts w:ascii="Arial" w:hAnsi="Arial" w:eastAsia="Times New Roman" w:cs="Arial"/>
          <w:szCs w:val="24"/>
          <w:lang w:eastAsia="en-GB"/>
        </w:rPr>
        <w:t xml:space="preserve"> they may wish to </w:t>
      </w:r>
      <w:r w:rsidR="001715E6">
        <w:rPr>
          <w:rFonts w:ascii="Arial" w:hAnsi="Arial" w:eastAsia="Times New Roman" w:cs="Arial"/>
          <w:szCs w:val="24"/>
          <w:lang w:eastAsia="en-GB"/>
        </w:rPr>
        <w:t xml:space="preserve">delay taking </w:t>
      </w:r>
      <w:r>
        <w:rPr>
          <w:rFonts w:ascii="Arial" w:hAnsi="Arial" w:eastAsia="Times New Roman" w:cs="Arial"/>
          <w:szCs w:val="24"/>
          <w:lang w:eastAsia="en-GB"/>
        </w:rPr>
        <w:t>some of their major assessments (including formal examinations)</w:t>
      </w:r>
      <w:r w:rsidR="001715E6">
        <w:rPr>
          <w:rFonts w:ascii="Arial" w:hAnsi="Arial" w:eastAsia="Times New Roman" w:cs="Arial"/>
          <w:szCs w:val="24"/>
          <w:lang w:eastAsia="en-GB"/>
        </w:rPr>
        <w:t xml:space="preserve"> until</w:t>
      </w:r>
      <w:r>
        <w:rPr>
          <w:rFonts w:ascii="Arial" w:hAnsi="Arial" w:eastAsia="Times New Roman" w:cs="Arial"/>
          <w:szCs w:val="24"/>
          <w:lang w:eastAsia="en-GB"/>
        </w:rPr>
        <w:t xml:space="preserve"> the next available opportunity.</w:t>
      </w:r>
    </w:p>
    <w:p w:rsidR="00D17895" w:rsidP="00D17895" w:rsidRDefault="00D17895" w14:paraId="12B37126" w14:textId="0101EB9B">
      <w:pPr>
        <w:pStyle w:val="ListParagraph"/>
        <w:numPr>
          <w:ilvl w:val="2"/>
          <w:numId w:val="9"/>
        </w:numPr>
        <w:shd w:val="clear" w:color="auto" w:fill="FFFFFF"/>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 xml:space="preserve">Such requests should be </w:t>
      </w:r>
      <w:r w:rsidR="001715E6">
        <w:rPr>
          <w:rFonts w:ascii="Arial" w:hAnsi="Arial" w:eastAsia="Times New Roman" w:cs="Arial"/>
          <w:szCs w:val="24"/>
          <w:lang w:eastAsia="en-GB"/>
        </w:rPr>
        <w:t xml:space="preserve">submitted by the student </w:t>
      </w:r>
      <w:r>
        <w:rPr>
          <w:rFonts w:ascii="Arial" w:hAnsi="Arial" w:eastAsia="Times New Roman" w:cs="Arial"/>
          <w:szCs w:val="24"/>
          <w:lang w:eastAsia="en-GB"/>
        </w:rPr>
        <w:t xml:space="preserve">to the Division by the expected deadline and </w:t>
      </w:r>
      <w:r w:rsidR="001715E6">
        <w:rPr>
          <w:rFonts w:ascii="Arial" w:hAnsi="Arial" w:eastAsia="Times New Roman" w:cs="Arial"/>
          <w:szCs w:val="24"/>
          <w:lang w:eastAsia="en-GB"/>
        </w:rPr>
        <w:t xml:space="preserve">be </w:t>
      </w:r>
      <w:r>
        <w:rPr>
          <w:rFonts w:ascii="Arial" w:hAnsi="Arial" w:eastAsia="Times New Roman" w:cs="Arial"/>
          <w:szCs w:val="24"/>
          <w:lang w:eastAsia="en-GB"/>
        </w:rPr>
        <w:t>considered by the Chair of the Board of Examiners.</w:t>
      </w:r>
    </w:p>
    <w:p w:rsidR="00D17895" w:rsidP="00D17895" w:rsidRDefault="00D17895" w14:paraId="44AE457F" w14:textId="41B838DB">
      <w:pPr>
        <w:pStyle w:val="ListParagraph"/>
        <w:numPr>
          <w:ilvl w:val="2"/>
          <w:numId w:val="9"/>
        </w:numPr>
        <w:shd w:val="clear" w:color="auto" w:fill="FFFFFF"/>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 xml:space="preserve">Students must provide supporting evidence. Self-certification is permitted within </w:t>
      </w:r>
      <w:r w:rsidR="001715E6">
        <w:rPr>
          <w:rFonts w:ascii="Arial" w:hAnsi="Arial" w:eastAsia="Times New Roman" w:cs="Arial"/>
          <w:szCs w:val="24"/>
          <w:lang w:eastAsia="en-GB"/>
        </w:rPr>
        <w:t xml:space="preserve">the </w:t>
      </w:r>
      <w:r>
        <w:rPr>
          <w:rFonts w:ascii="Arial" w:hAnsi="Arial" w:eastAsia="Times New Roman" w:cs="Arial"/>
          <w:szCs w:val="24"/>
          <w:lang w:eastAsia="en-GB"/>
        </w:rPr>
        <w:t xml:space="preserve">limits </w:t>
      </w:r>
      <w:r w:rsidR="001715E6">
        <w:rPr>
          <w:rFonts w:ascii="Arial" w:hAnsi="Arial" w:eastAsia="Times New Roman" w:cs="Arial"/>
          <w:szCs w:val="24"/>
          <w:lang w:eastAsia="en-GB"/>
        </w:rPr>
        <w:t xml:space="preserve"> </w:t>
      </w:r>
      <w:r>
        <w:rPr>
          <w:rFonts w:ascii="Arial" w:hAnsi="Arial" w:eastAsia="Times New Roman" w:cs="Arial"/>
          <w:szCs w:val="24"/>
          <w:lang w:eastAsia="en-GB"/>
        </w:rPr>
        <w:t>set out in the Section 5.2 below,</w:t>
      </w:r>
    </w:p>
    <w:p w:rsidR="00D17895" w:rsidP="00D17895" w:rsidRDefault="00D17895" w14:paraId="7CB979BD" w14:textId="05571100">
      <w:pPr>
        <w:pStyle w:val="ListParagraph"/>
        <w:numPr>
          <w:ilvl w:val="2"/>
          <w:numId w:val="9"/>
        </w:numPr>
        <w:shd w:val="clear" w:color="auto" w:fill="FFFFFF"/>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The Chair would consider the reasons for the request</w:t>
      </w:r>
      <w:r w:rsidR="00964730">
        <w:rPr>
          <w:rFonts w:ascii="Arial" w:hAnsi="Arial" w:eastAsia="Times New Roman" w:cs="Arial"/>
          <w:szCs w:val="24"/>
          <w:lang w:eastAsia="en-GB"/>
        </w:rPr>
        <w:t xml:space="preserve"> and decide whether it </w:t>
      </w:r>
      <w:r w:rsidR="002437CA">
        <w:rPr>
          <w:rFonts w:ascii="Arial" w:hAnsi="Arial" w:eastAsia="Times New Roman" w:cs="Arial"/>
          <w:szCs w:val="24"/>
          <w:lang w:eastAsia="en-GB"/>
        </w:rPr>
        <w:t>sh</w:t>
      </w:r>
      <w:r w:rsidR="00964730">
        <w:rPr>
          <w:rFonts w:ascii="Arial" w:hAnsi="Arial" w:eastAsia="Times New Roman" w:cs="Arial"/>
          <w:szCs w:val="24"/>
          <w:lang w:eastAsia="en-GB"/>
        </w:rPr>
        <w:t>ould be accommodated</w:t>
      </w:r>
      <w:r w:rsidR="002437CA">
        <w:rPr>
          <w:rFonts w:ascii="Arial" w:hAnsi="Arial" w:eastAsia="Times New Roman" w:cs="Arial"/>
          <w:szCs w:val="24"/>
          <w:lang w:eastAsia="en-GB"/>
        </w:rPr>
        <w:t>,</w:t>
      </w:r>
      <w:r w:rsidR="00964730">
        <w:rPr>
          <w:rFonts w:ascii="Arial" w:hAnsi="Arial" w:eastAsia="Times New Roman" w:cs="Arial"/>
          <w:szCs w:val="24"/>
          <w:lang w:eastAsia="en-GB"/>
        </w:rPr>
        <w:t xml:space="preserve"> </w:t>
      </w:r>
      <w:r w:rsidR="002437CA">
        <w:rPr>
          <w:rFonts w:ascii="Arial" w:hAnsi="Arial" w:eastAsia="Times New Roman" w:cs="Arial"/>
          <w:szCs w:val="24"/>
          <w:lang w:eastAsia="en-GB"/>
        </w:rPr>
        <w:t xml:space="preserve">ensuring </w:t>
      </w:r>
      <w:r w:rsidR="00964730">
        <w:rPr>
          <w:rFonts w:ascii="Arial" w:hAnsi="Arial" w:eastAsia="Times New Roman" w:cs="Arial"/>
          <w:szCs w:val="24"/>
          <w:lang w:eastAsia="en-GB"/>
        </w:rPr>
        <w:t>that the decision is in the student’s best interest and would not cause issues in the future, such as</w:t>
      </w:r>
      <w:r w:rsidR="002437CA">
        <w:rPr>
          <w:rFonts w:ascii="Arial" w:hAnsi="Arial" w:eastAsia="Times New Roman" w:cs="Arial"/>
          <w:szCs w:val="24"/>
          <w:lang w:eastAsia="en-GB"/>
        </w:rPr>
        <w:t xml:space="preserve"> </w:t>
      </w:r>
      <w:r w:rsidR="003C1E42">
        <w:rPr>
          <w:rFonts w:ascii="Arial" w:hAnsi="Arial" w:eastAsia="Times New Roman" w:cs="Arial"/>
          <w:szCs w:val="24"/>
          <w:lang w:eastAsia="en-GB"/>
        </w:rPr>
        <w:t xml:space="preserve">the delay </w:t>
      </w:r>
      <w:r w:rsidR="002437CA">
        <w:rPr>
          <w:rFonts w:ascii="Arial" w:hAnsi="Arial" w:eastAsia="Times New Roman" w:cs="Arial"/>
          <w:szCs w:val="24"/>
          <w:lang w:eastAsia="en-GB"/>
        </w:rPr>
        <w:t>resulting in</w:t>
      </w:r>
      <w:r w:rsidR="00964730">
        <w:rPr>
          <w:rFonts w:ascii="Arial" w:hAnsi="Arial" w:eastAsia="Times New Roman" w:cs="Arial"/>
          <w:szCs w:val="24"/>
          <w:lang w:eastAsia="en-GB"/>
        </w:rPr>
        <w:t xml:space="preserve"> </w:t>
      </w:r>
      <w:r w:rsidR="002437CA">
        <w:rPr>
          <w:rFonts w:ascii="Arial" w:hAnsi="Arial" w:eastAsia="Times New Roman" w:cs="Arial"/>
          <w:szCs w:val="24"/>
          <w:lang w:eastAsia="en-GB"/>
        </w:rPr>
        <w:t xml:space="preserve">the </w:t>
      </w:r>
      <w:r w:rsidR="00964730">
        <w:rPr>
          <w:rFonts w:ascii="Arial" w:hAnsi="Arial" w:eastAsia="Times New Roman" w:cs="Arial"/>
          <w:szCs w:val="24"/>
          <w:lang w:eastAsia="en-GB"/>
        </w:rPr>
        <w:t xml:space="preserve">majority of </w:t>
      </w:r>
      <w:r w:rsidR="002437CA">
        <w:rPr>
          <w:rFonts w:ascii="Arial" w:hAnsi="Arial" w:eastAsia="Times New Roman" w:cs="Arial"/>
          <w:szCs w:val="24"/>
          <w:lang w:eastAsia="en-GB"/>
        </w:rPr>
        <w:t xml:space="preserve">remaining </w:t>
      </w:r>
      <w:r w:rsidR="00964730">
        <w:rPr>
          <w:rFonts w:ascii="Arial" w:hAnsi="Arial" w:eastAsia="Times New Roman" w:cs="Arial"/>
          <w:szCs w:val="24"/>
          <w:lang w:eastAsia="en-GB"/>
        </w:rPr>
        <w:t xml:space="preserve">assessments </w:t>
      </w:r>
      <w:r w:rsidR="002437CA">
        <w:rPr>
          <w:rFonts w:ascii="Arial" w:hAnsi="Arial" w:eastAsia="Times New Roman" w:cs="Arial"/>
          <w:szCs w:val="24"/>
          <w:lang w:eastAsia="en-GB"/>
        </w:rPr>
        <w:t>taking p</w:t>
      </w:r>
      <w:r w:rsidR="003C1E42">
        <w:rPr>
          <w:rFonts w:ascii="Arial" w:hAnsi="Arial" w:eastAsia="Times New Roman" w:cs="Arial"/>
          <w:szCs w:val="24"/>
          <w:lang w:eastAsia="en-GB"/>
        </w:rPr>
        <w:t>la</w:t>
      </w:r>
      <w:r w:rsidR="002437CA">
        <w:rPr>
          <w:rFonts w:ascii="Arial" w:hAnsi="Arial" w:eastAsia="Times New Roman" w:cs="Arial"/>
          <w:szCs w:val="24"/>
          <w:lang w:eastAsia="en-GB"/>
        </w:rPr>
        <w:t xml:space="preserve">ce </w:t>
      </w:r>
      <w:r w:rsidR="003C1E42">
        <w:rPr>
          <w:rFonts w:ascii="Arial" w:hAnsi="Arial" w:eastAsia="Times New Roman" w:cs="Arial"/>
          <w:szCs w:val="24"/>
          <w:lang w:eastAsia="en-GB"/>
        </w:rPr>
        <w:t xml:space="preserve">over </w:t>
      </w:r>
      <w:r w:rsidR="00964730">
        <w:rPr>
          <w:rFonts w:ascii="Arial" w:hAnsi="Arial" w:eastAsia="Times New Roman" w:cs="Arial"/>
          <w:szCs w:val="24"/>
          <w:lang w:eastAsia="en-GB"/>
        </w:rPr>
        <w:t>a short period of time.</w:t>
      </w:r>
    </w:p>
    <w:p w:rsidR="00964730" w:rsidP="00D17895" w:rsidRDefault="00964730" w14:paraId="456E7D4B" w14:textId="7833E63E">
      <w:pPr>
        <w:pStyle w:val="ListParagraph"/>
        <w:numPr>
          <w:ilvl w:val="2"/>
          <w:numId w:val="9"/>
        </w:numPr>
        <w:shd w:val="clear" w:color="auto" w:fill="FFFFFF"/>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The student should</w:t>
      </w:r>
      <w:r w:rsidR="00110FB8">
        <w:rPr>
          <w:rFonts w:ascii="Arial" w:hAnsi="Arial" w:eastAsia="Times New Roman" w:cs="Arial"/>
          <w:szCs w:val="24"/>
          <w:lang w:eastAsia="en-GB"/>
        </w:rPr>
        <w:t xml:space="preserve"> be informed that if their request is upheld and if they fail any </w:t>
      </w:r>
      <w:r w:rsidR="001715E6">
        <w:rPr>
          <w:rFonts w:ascii="Arial" w:hAnsi="Arial" w:eastAsia="Times New Roman" w:cs="Arial"/>
          <w:szCs w:val="24"/>
          <w:lang w:eastAsia="en-GB"/>
        </w:rPr>
        <w:t xml:space="preserve">delayed </w:t>
      </w:r>
      <w:r w:rsidR="00110FB8">
        <w:rPr>
          <w:rFonts w:ascii="Arial" w:hAnsi="Arial" w:eastAsia="Times New Roman" w:cs="Arial"/>
          <w:szCs w:val="24"/>
          <w:lang w:eastAsia="en-GB"/>
        </w:rPr>
        <w:t xml:space="preserve">modules, their degree completion or progression to the next stage may </w:t>
      </w:r>
      <w:r w:rsidR="003C1E42">
        <w:rPr>
          <w:rFonts w:ascii="Arial" w:hAnsi="Arial" w:eastAsia="Times New Roman" w:cs="Arial"/>
          <w:szCs w:val="24"/>
          <w:lang w:eastAsia="en-GB"/>
        </w:rPr>
        <w:t xml:space="preserve">also </w:t>
      </w:r>
      <w:r w:rsidR="00110FB8">
        <w:rPr>
          <w:rFonts w:ascii="Arial" w:hAnsi="Arial" w:eastAsia="Times New Roman" w:cs="Arial"/>
          <w:szCs w:val="24"/>
          <w:lang w:eastAsia="en-GB"/>
        </w:rPr>
        <w:t>be delayed</w:t>
      </w:r>
      <w:r w:rsidR="003C1E42">
        <w:rPr>
          <w:rFonts w:ascii="Arial" w:hAnsi="Arial" w:eastAsia="Times New Roman" w:cs="Arial"/>
          <w:szCs w:val="24"/>
          <w:lang w:eastAsia="en-GB"/>
        </w:rPr>
        <w:t xml:space="preserve"> as a result</w:t>
      </w:r>
      <w:r w:rsidR="00110FB8">
        <w:rPr>
          <w:rFonts w:ascii="Arial" w:hAnsi="Arial" w:eastAsia="Times New Roman" w:cs="Arial"/>
          <w:szCs w:val="24"/>
          <w:lang w:eastAsia="en-GB"/>
        </w:rPr>
        <w:t>.</w:t>
      </w:r>
    </w:p>
    <w:p w:rsidRPr="00F579C0" w:rsidR="00110FB8" w:rsidP="00567974" w:rsidRDefault="00110FB8" w14:paraId="031FEBDC" w14:textId="4AE9B979">
      <w:pPr>
        <w:pStyle w:val="ListParagraph"/>
        <w:shd w:val="clear" w:color="auto" w:fill="FFFFFF"/>
        <w:spacing w:after="120" w:line="240" w:lineRule="auto"/>
        <w:ind w:left="709" w:right="237"/>
        <w:contextualSpacing w:val="0"/>
        <w:rPr>
          <w:rFonts w:ascii="Arial" w:hAnsi="Arial" w:eastAsia="Times New Roman" w:cs="Arial"/>
          <w:szCs w:val="24"/>
          <w:lang w:eastAsia="en-GB"/>
        </w:rPr>
      </w:pPr>
      <w:r>
        <w:rPr>
          <w:rFonts w:ascii="Arial" w:hAnsi="Arial" w:eastAsia="Times New Roman" w:cs="Arial"/>
          <w:szCs w:val="24"/>
          <w:lang w:eastAsia="en-GB"/>
        </w:rPr>
        <w:t xml:space="preserve">N.B. </w:t>
      </w:r>
      <w:r w:rsidR="003C1E42">
        <w:rPr>
          <w:rFonts w:ascii="Arial" w:hAnsi="Arial" w:eastAsia="Times New Roman" w:cs="Arial"/>
          <w:szCs w:val="24"/>
          <w:lang w:eastAsia="en-GB"/>
        </w:rPr>
        <w:t>The procedure for delaying</w:t>
      </w:r>
      <w:r>
        <w:rPr>
          <w:rFonts w:ascii="Arial" w:hAnsi="Arial" w:eastAsia="Times New Roman" w:cs="Arial"/>
          <w:szCs w:val="24"/>
          <w:lang w:eastAsia="en-GB"/>
        </w:rPr>
        <w:t xml:space="preserve"> assessments is also </w:t>
      </w:r>
      <w:r w:rsidR="003C1E42">
        <w:rPr>
          <w:rFonts w:ascii="Arial" w:hAnsi="Arial" w:eastAsia="Times New Roman" w:cs="Arial"/>
          <w:szCs w:val="24"/>
          <w:lang w:eastAsia="en-GB"/>
        </w:rPr>
        <w:t xml:space="preserve">relevant </w:t>
      </w:r>
      <w:r w:rsidR="00567974">
        <w:rPr>
          <w:rFonts w:ascii="Arial" w:hAnsi="Arial" w:eastAsia="Times New Roman" w:cs="Arial"/>
          <w:szCs w:val="24"/>
          <w:lang w:eastAsia="en-GB"/>
        </w:rPr>
        <w:t>under section 6.</w:t>
      </w:r>
      <w:r w:rsidR="003C1E42">
        <w:rPr>
          <w:rFonts w:ascii="Arial" w:hAnsi="Arial" w:eastAsia="Times New Roman" w:cs="Arial"/>
          <w:szCs w:val="24"/>
          <w:lang w:eastAsia="en-GB"/>
        </w:rPr>
        <w:t>8</w:t>
      </w:r>
      <w:r w:rsidR="00567974">
        <w:rPr>
          <w:rFonts w:ascii="Arial" w:hAnsi="Arial" w:eastAsia="Times New Roman" w:cs="Arial"/>
          <w:szCs w:val="24"/>
          <w:lang w:eastAsia="en-GB"/>
        </w:rPr>
        <w:t xml:space="preserve"> below. </w:t>
      </w:r>
    </w:p>
    <w:p w:rsidRPr="00F579C0" w:rsidR="00E83AA9" w:rsidP="00E83AA9" w:rsidRDefault="00E83AA9" w14:paraId="7702EBA5" w14:textId="77777777">
      <w:pPr>
        <w:shd w:val="clear" w:color="auto" w:fill="FFFFFF"/>
        <w:ind w:right="237"/>
        <w:jc w:val="both"/>
        <w:rPr>
          <w:rFonts w:eastAsia="Times New Roman"/>
          <w:szCs w:val="24"/>
        </w:rPr>
      </w:pPr>
    </w:p>
    <w:p w:rsidRPr="00F579C0" w:rsidR="00E83AA9" w:rsidP="00E83AA9" w:rsidRDefault="00E83AA9" w14:paraId="461708BC" w14:textId="77777777">
      <w:pPr>
        <w:pStyle w:val="Heading1"/>
        <w:rPr>
          <w:rFonts w:eastAsia="Times New Roman"/>
        </w:rPr>
      </w:pPr>
      <w:bookmarkStart w:name="_Toc114557647" w:id="2"/>
      <w:r w:rsidRPr="00F579C0">
        <w:rPr>
          <w:rFonts w:eastAsia="Times New Roman"/>
        </w:rPr>
        <w:t>Submission Procedures</w:t>
      </w:r>
      <w:bookmarkEnd w:id="2"/>
    </w:p>
    <w:p w:rsidRPr="00F579C0" w:rsidR="00E83AA9" w:rsidP="00E83AA9" w:rsidRDefault="00E83AA9" w14:paraId="7CB6EE6F" w14:textId="77777777">
      <w:pPr>
        <w:pStyle w:val="ListParagraph"/>
        <w:numPr>
          <w:ilvl w:val="0"/>
          <w:numId w:val="17"/>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Students who wish to apply for mitigation of extenuating circumstances should use the Mitigation Application Form and attach supporting documentary evidence (where applicable).</w:t>
      </w:r>
    </w:p>
    <w:p w:rsidRPr="00F579C0" w:rsidR="00E83AA9" w:rsidP="00E83AA9" w:rsidRDefault="00E83AA9" w14:paraId="10E605DF" w14:textId="77777777">
      <w:pPr>
        <w:pStyle w:val="ListParagraph"/>
        <w:numPr>
          <w:ilvl w:val="0"/>
          <w:numId w:val="17"/>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The form must be submitted to the student’s Divisional Administrative Office.</w:t>
      </w:r>
    </w:p>
    <w:p w:rsidRPr="00F579C0" w:rsidR="00E83AA9" w:rsidP="00E83AA9" w:rsidRDefault="00E83AA9" w14:paraId="637C0511" w14:textId="77777777">
      <w:pPr>
        <w:pStyle w:val="ListParagraph"/>
        <w:numPr>
          <w:ilvl w:val="0"/>
          <w:numId w:val="17"/>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Students can apply for mitigation with respect to the following matters:</w:t>
      </w:r>
    </w:p>
    <w:p w:rsidRPr="00F579C0" w:rsidR="00E83AA9" w:rsidP="004B03A8" w:rsidRDefault="00E83AA9" w14:paraId="27DB3AD7" w14:textId="77777777">
      <w:pPr>
        <w:ind w:left="993" w:hanging="426"/>
      </w:pPr>
      <w:r w:rsidRPr="00F579C0">
        <w:t>a.</w:t>
      </w:r>
      <w:r w:rsidRPr="00F579C0">
        <w:tab/>
      </w:r>
      <w:r w:rsidRPr="00F579C0">
        <w:t>failure to submit coursework</w:t>
      </w:r>
    </w:p>
    <w:p w:rsidRPr="00F579C0" w:rsidR="00E83AA9" w:rsidP="004B03A8" w:rsidRDefault="00E83AA9" w14:paraId="206CFF88" w14:textId="77777777">
      <w:pPr>
        <w:ind w:left="993" w:hanging="426"/>
      </w:pPr>
      <w:r w:rsidRPr="00F579C0">
        <w:t>b.</w:t>
      </w:r>
      <w:r w:rsidRPr="00F579C0">
        <w:tab/>
      </w:r>
      <w:r w:rsidRPr="00F579C0">
        <w:t>to request an extension in advance of a coursework deadline</w:t>
      </w:r>
    </w:p>
    <w:p w:rsidRPr="00F579C0" w:rsidR="00E83AA9" w:rsidP="004B03A8" w:rsidRDefault="00E83AA9" w14:paraId="1093CB71" w14:textId="77777777">
      <w:pPr>
        <w:ind w:left="993" w:hanging="426"/>
      </w:pPr>
      <w:r w:rsidRPr="00F579C0">
        <w:t>c.</w:t>
      </w:r>
      <w:r w:rsidRPr="00F579C0">
        <w:tab/>
      </w:r>
      <w:r w:rsidRPr="00F579C0">
        <w:t>to request to submit coursework late (where an extension has not been granted by the Chair of the Mitigation Committee in advance)</w:t>
      </w:r>
    </w:p>
    <w:p w:rsidRPr="00F579C0" w:rsidR="00E83AA9" w:rsidP="004B03A8" w:rsidRDefault="00E83AA9" w14:paraId="10F06906" w14:textId="77777777">
      <w:pPr>
        <w:ind w:left="993" w:hanging="426"/>
      </w:pPr>
      <w:r w:rsidRPr="00F579C0">
        <w:t>d.</w:t>
      </w:r>
      <w:r w:rsidRPr="00F579C0">
        <w:tab/>
      </w:r>
      <w:r w:rsidRPr="00F579C0">
        <w:t>failure to sit an examination, in-course test or practical assessment</w:t>
      </w:r>
    </w:p>
    <w:p w:rsidRPr="00F579C0" w:rsidR="00E83AA9" w:rsidP="004B03A8" w:rsidRDefault="00E83AA9" w14:paraId="71F9BCC8" w14:textId="77777777">
      <w:pPr>
        <w:ind w:left="993" w:hanging="426"/>
      </w:pPr>
      <w:r w:rsidRPr="00F579C0">
        <w:t>e.</w:t>
      </w:r>
      <w:r w:rsidRPr="00F579C0">
        <w:tab/>
      </w:r>
      <w:r w:rsidRPr="00F579C0">
        <w:t>impaired performance in either coursework or examination</w:t>
      </w:r>
    </w:p>
    <w:p w:rsidRPr="00F579C0" w:rsidR="00E83AA9" w:rsidP="00E83AA9" w:rsidRDefault="00E83AA9" w14:paraId="14CC27F0" w14:textId="77777777">
      <w:pPr>
        <w:pStyle w:val="ListParagraph"/>
        <w:numPr>
          <w:ilvl w:val="0"/>
          <w:numId w:val="18"/>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Applications for extensions to coursework deadlines on grounds of extenuating circumstances will be considered under the procedures set out in </w:t>
      </w:r>
      <w:hyperlink w:history="1" r:id="rId11">
        <w:r w:rsidRPr="00E83AA9">
          <w:rPr>
            <w:rStyle w:val="Hyperlink"/>
            <w:rFonts w:ascii="Arial" w:hAnsi="Arial" w:eastAsia="Times New Roman" w:cs="Arial"/>
            <w:szCs w:val="24"/>
            <w:lang w:eastAsia="en-GB"/>
          </w:rPr>
          <w:t>Appendix 2</w:t>
        </w:r>
      </w:hyperlink>
      <w:r w:rsidRPr="00F579C0">
        <w:rPr>
          <w:rFonts w:ascii="Arial" w:hAnsi="Arial" w:eastAsia="Times New Roman" w:cs="Arial"/>
          <w:szCs w:val="24"/>
          <w:lang w:eastAsia="en-GB"/>
        </w:rPr>
        <w:t xml:space="preserve"> of this Annex.</w:t>
      </w:r>
    </w:p>
    <w:p w:rsidRPr="00F579C0" w:rsidR="00E83AA9" w:rsidP="00E83AA9" w:rsidRDefault="00E83AA9" w14:paraId="7724EF96" w14:textId="77777777">
      <w:pPr>
        <w:pStyle w:val="ListParagraph"/>
        <w:numPr>
          <w:ilvl w:val="0"/>
          <w:numId w:val="18"/>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Applications must be made as soon as the extenuating circumstances are known to the student. The exception to this is where a student has failed to attend a scheduled assessment, such as an in-course test or lab assignment. </w:t>
      </w:r>
      <w:r w:rsidRPr="00F579C0">
        <w:rPr>
          <w:rFonts w:ascii="Arial" w:hAnsi="Arial" w:eastAsia="Times New Roman" w:cs="Arial"/>
          <w:szCs w:val="24"/>
          <w:lang w:eastAsia="en-GB"/>
        </w:rPr>
        <w:t xml:space="preserve">These applications should be submitted within five working days of the assessment. </w:t>
      </w:r>
    </w:p>
    <w:p w:rsidRPr="00F579C0" w:rsidR="00E83AA9" w:rsidP="00E83AA9" w:rsidRDefault="00E83AA9" w14:paraId="5F083FAE" w14:textId="77777777">
      <w:pPr>
        <w:pStyle w:val="ListParagraph"/>
        <w:numPr>
          <w:ilvl w:val="0"/>
          <w:numId w:val="18"/>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It is understood that the nature of some circumstances may delay the submission of an application or that the negative impact of some extenuating circumstances may only become apparent later in the academic year. However, in such cases, the application should still be submitted as soon as possible. </w:t>
      </w:r>
    </w:p>
    <w:p w:rsidRPr="00F579C0" w:rsidR="00E83AA9" w:rsidP="74528B5A" w:rsidRDefault="00E83AA9" w14:paraId="5A7FEF85" w14:textId="06C5BD7A">
      <w:pPr>
        <w:pStyle w:val="ListParagraph"/>
        <w:numPr>
          <w:ilvl w:val="0"/>
          <w:numId w:val="18"/>
        </w:numPr>
        <w:shd w:val="clear" w:color="auto" w:fill="FFFFFF" w:themeFill="background1"/>
        <w:spacing w:after="120" w:line="240" w:lineRule="auto"/>
        <w:ind w:left="567" w:right="237" w:hanging="567"/>
        <w:rPr>
          <w:rFonts w:ascii="Arial" w:hAnsi="Arial" w:eastAsia="Times New Roman" w:cs="Arial"/>
          <w:lang w:eastAsia="en-GB"/>
        </w:rPr>
      </w:pPr>
      <w:r w:rsidRPr="74528B5A" w:rsidR="00E83AA9">
        <w:rPr>
          <w:rFonts w:ascii="Arial" w:hAnsi="Arial" w:eastAsia="Times New Roman" w:cs="Arial"/>
          <w:lang w:eastAsia="en-GB"/>
        </w:rPr>
        <w:t xml:space="preserve">It is advisable that a student </w:t>
      </w:r>
      <w:r w:rsidRPr="74528B5A" w:rsidR="00E83AA9">
        <w:rPr>
          <w:rFonts w:ascii="Arial" w:hAnsi="Arial" w:eastAsia="Times New Roman" w:cs="Arial"/>
          <w:lang w:eastAsia="en-GB"/>
        </w:rPr>
        <w:t>submits</w:t>
      </w:r>
      <w:r w:rsidRPr="74528B5A" w:rsidR="00E83AA9">
        <w:rPr>
          <w:rFonts w:ascii="Arial" w:hAnsi="Arial" w:eastAsia="Times New Roman" w:cs="Arial"/>
          <w:lang w:eastAsia="en-GB"/>
        </w:rPr>
        <w:t xml:space="preserve"> their application as soon as possible and in time for the applications to be considered by the Mitigation Committee prior to the Board of Examiners’ meeting. Forms </w:t>
      </w:r>
      <w:r w:rsidRPr="74528B5A" w:rsidR="00E83AA9">
        <w:rPr>
          <w:rFonts w:ascii="Arial" w:hAnsi="Arial" w:eastAsia="Times New Roman" w:cs="Arial"/>
          <w:lang w:eastAsia="en-GB"/>
        </w:rPr>
        <w:t>submitted</w:t>
      </w:r>
      <w:r w:rsidRPr="74528B5A" w:rsidR="00E83AA9">
        <w:rPr>
          <w:rFonts w:ascii="Arial" w:hAnsi="Arial" w:eastAsia="Times New Roman" w:cs="Arial"/>
          <w:lang w:eastAsia="en-GB"/>
        </w:rPr>
        <w:t xml:space="preserve"> beyond such meeting will have to be processed as per </w:t>
      </w:r>
      <w:r w:rsidRPr="74528B5A" w:rsidR="00E83AA9">
        <w:rPr>
          <w:rFonts w:ascii="Arial" w:hAnsi="Arial" w:eastAsia="Times New Roman" w:cs="Arial"/>
          <w:lang w:eastAsia="en-GB"/>
        </w:rPr>
        <w:t xml:space="preserve">the </w:t>
      </w:r>
      <w:r w:rsidRPr="74528B5A" w:rsidR="00E83AA9">
        <w:rPr>
          <w:rFonts w:ascii="Arial" w:hAnsi="Arial" w:eastAsia="Times New Roman" w:cs="Arial"/>
          <w:lang w:eastAsia="en-GB"/>
        </w:rPr>
        <w:t>Early Informal Resolution procedure (</w:t>
      </w:r>
      <w:r w:rsidRPr="74528B5A" w:rsidR="00E83AA9">
        <w:rPr>
          <w:rFonts w:ascii="Arial" w:hAnsi="Arial" w:eastAsia="Times New Roman" w:cs="Arial"/>
          <w:lang w:eastAsia="en-GB"/>
        </w:rPr>
        <w:t xml:space="preserve">see </w:t>
      </w:r>
      <w:r w:rsidRPr="74528B5A" w:rsidR="576F1F5F">
        <w:rPr>
          <w:rFonts w:ascii="Arial" w:hAnsi="Arial" w:eastAsia="Times New Roman" w:cs="Arial"/>
          <w:lang w:eastAsia="en-GB"/>
        </w:rPr>
        <w:t xml:space="preserve">the </w:t>
      </w:r>
      <w:hyperlink r:id="Rd616a73615a340f5">
        <w:r w:rsidRPr="74528B5A" w:rsidR="576F1F5F">
          <w:rPr>
            <w:rStyle w:val="Hyperlink"/>
            <w:rFonts w:ascii="Arial" w:hAnsi="Arial" w:eastAsia="Times New Roman" w:cs="Arial"/>
            <w:lang w:eastAsia="en-GB"/>
          </w:rPr>
          <w:t>Academic Appeals Policy</w:t>
        </w:r>
      </w:hyperlink>
      <w:r w:rsidRPr="74528B5A" w:rsidR="00E83AA9">
        <w:rPr>
          <w:rFonts w:ascii="Arial" w:hAnsi="Arial" w:eastAsia="Times New Roman" w:cs="Arial"/>
          <w:lang w:eastAsia="en-GB"/>
        </w:rPr>
        <w:t xml:space="preserve">). </w:t>
      </w:r>
    </w:p>
    <w:p w:rsidRPr="00F579C0" w:rsidR="00E83AA9" w:rsidP="006A5A60" w:rsidRDefault="00E83AA9" w14:paraId="79149E13" w14:textId="77777777">
      <w:pPr>
        <w:pStyle w:val="ListParagraph"/>
        <w:numPr>
          <w:ilvl w:val="0"/>
          <w:numId w:val="18"/>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There may also be times when it is not possible for a student to submit the form but their extenuating circumstances will still be considered, for example, via a letter or supporting evidence alone. Students should be aware that it might be difficult for the Mitigation Committee to consider their application without the full information contained on the form. Therefore, submitting the form is preferable.</w:t>
      </w:r>
    </w:p>
    <w:p w:rsidRPr="00F579C0" w:rsidR="00E83AA9" w:rsidP="006A5A60" w:rsidRDefault="00E83AA9" w14:paraId="27013A29" w14:textId="77777777">
      <w:pPr>
        <w:pStyle w:val="ListParagraph"/>
        <w:numPr>
          <w:ilvl w:val="0"/>
          <w:numId w:val="18"/>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To ensure that students are informed of the outcome of their request for mitigation as quickly as possible, decisions about applications received during the academic year, for example, with regard to extensions, late-submitted work or a request in advance to miss a scheduled assessment, must be taken by the Chair of the Mitigation Committee (or nominee) straight away. Decisions should not wait until the end of year meeting of the Board of Examiners. Records should be retained and reported to the Mitigation Committee and students should be informed in writing, with an explanation, of the outcome of their application</w:t>
      </w:r>
      <w:r>
        <w:rPr>
          <w:rFonts w:ascii="Arial" w:hAnsi="Arial" w:eastAsia="Times New Roman" w:cs="Arial"/>
          <w:szCs w:val="24"/>
          <w:lang w:eastAsia="en-GB"/>
        </w:rPr>
        <w:t xml:space="preserve"> (also see 4.1.2).</w:t>
      </w:r>
      <w:r w:rsidRPr="00F579C0">
        <w:rPr>
          <w:rFonts w:ascii="Arial" w:hAnsi="Arial" w:eastAsia="Times New Roman" w:cs="Arial"/>
          <w:szCs w:val="24"/>
          <w:lang w:eastAsia="en-GB"/>
        </w:rPr>
        <w:t xml:space="preserve"> </w:t>
      </w:r>
    </w:p>
    <w:p w:rsidR="00E83AA9" w:rsidP="00E83AA9" w:rsidRDefault="00E83AA9" w14:paraId="75210917" w14:textId="77777777">
      <w:pPr>
        <w:shd w:val="clear" w:color="auto" w:fill="FFFFFF"/>
        <w:ind w:right="237"/>
        <w:jc w:val="both"/>
        <w:rPr>
          <w:rFonts w:eastAsia="Times New Roman"/>
          <w:szCs w:val="24"/>
        </w:rPr>
      </w:pPr>
    </w:p>
    <w:p w:rsidRPr="00F579C0" w:rsidR="00E83AA9" w:rsidP="006A5A60" w:rsidRDefault="00E83AA9" w14:paraId="0F669B2A" w14:textId="77777777">
      <w:pPr>
        <w:pStyle w:val="Heading1"/>
        <w:rPr>
          <w:rFonts w:eastAsia="Times New Roman"/>
        </w:rPr>
      </w:pPr>
      <w:bookmarkStart w:name="_Toc114557648" w:id="3"/>
      <w:r w:rsidRPr="00F579C0">
        <w:rPr>
          <w:rFonts w:eastAsia="Times New Roman"/>
        </w:rPr>
        <w:t>Consideration of Applications for Mitigation</w:t>
      </w:r>
      <w:bookmarkEnd w:id="3"/>
      <w:r w:rsidRPr="00F579C0">
        <w:rPr>
          <w:rFonts w:eastAsia="Times New Roman"/>
        </w:rPr>
        <w:t xml:space="preserve"> </w:t>
      </w:r>
    </w:p>
    <w:p w:rsidRPr="00F579C0" w:rsidR="00E83AA9" w:rsidP="006A5A60" w:rsidRDefault="00E83AA9" w14:paraId="6E5B4BA2" w14:textId="77777777">
      <w:pPr>
        <w:pStyle w:val="ListParagraph"/>
        <w:numPr>
          <w:ilvl w:val="1"/>
          <w:numId w:val="19"/>
        </w:numPr>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Applications for mitigation are considered by the Mitigation Committee on behalf of the Board of Examiners. The Chief Examiner will convene the Mitigation Committee, which shall comprise a small number of internal members of the Board of Examiners (i.e. normally no more than three members, to include the Chief Examiner (or nominee), the Senior Tutor, a third member and, typically, with the Student Support Officer in attendance) to assess the severity of the impact on student performance of relevant extenuating circumstances. The Mitigation Committee will be chaired by the </w:t>
      </w:r>
      <w:r w:rsidRPr="00F579C0">
        <w:rPr>
          <w:rFonts w:ascii="Arial" w:hAnsi="Arial" w:eastAsia="Times New Roman" w:cs="Arial"/>
          <w:szCs w:val="24"/>
          <w:lang w:eastAsia="en-GB"/>
        </w:rPr>
        <w:t>Chief Examiner or by a nominee of the Chief Examiner, drawn from the members of the Mitigation Committee. Any such nominee must also be a member of the relevant Board of Examiners (</w:t>
      </w:r>
      <w:r>
        <w:rPr>
          <w:rFonts w:ascii="Arial" w:hAnsi="Arial" w:eastAsia="Times New Roman" w:cs="Arial"/>
          <w:szCs w:val="24"/>
          <w:lang w:eastAsia="en-GB"/>
        </w:rPr>
        <w:t xml:space="preserve">see </w:t>
      </w:r>
      <w:hyperlink w:history="1" r:id="rId13">
        <w:r w:rsidRPr="006A5A60">
          <w:rPr>
            <w:rStyle w:val="Hyperlink"/>
            <w:rFonts w:ascii="Arial" w:hAnsi="Arial" w:eastAsia="Times New Roman" w:cs="Arial"/>
            <w:szCs w:val="24"/>
            <w:lang w:eastAsia="en-GB"/>
          </w:rPr>
          <w:t>Annex J</w:t>
        </w:r>
      </w:hyperlink>
      <w:r w:rsidRPr="00F579C0">
        <w:rPr>
          <w:rFonts w:ascii="Arial" w:hAnsi="Arial" w:eastAsia="Times New Roman" w:cs="Arial"/>
          <w:szCs w:val="24"/>
          <w:lang w:eastAsia="en-GB"/>
        </w:rPr>
        <w:t xml:space="preserve"> of the Code of Practice</w:t>
      </w:r>
      <w:r w:rsidR="006A5A60">
        <w:rPr>
          <w:rFonts w:ascii="Arial" w:hAnsi="Arial" w:eastAsia="Times New Roman" w:cs="Arial"/>
          <w:szCs w:val="24"/>
          <w:lang w:eastAsia="en-GB"/>
        </w:rPr>
        <w:t xml:space="preserve"> for</w:t>
      </w:r>
      <w:r>
        <w:rPr>
          <w:rFonts w:ascii="Arial" w:hAnsi="Arial" w:eastAsia="Times New Roman" w:cs="Arial"/>
          <w:szCs w:val="24"/>
          <w:lang w:eastAsia="en-GB"/>
        </w:rPr>
        <w:t xml:space="preserve"> </w:t>
      </w:r>
      <w:r w:rsidRPr="00F579C0">
        <w:rPr>
          <w:rFonts w:ascii="Arial" w:hAnsi="Arial" w:eastAsia="Times New Roman" w:cs="Arial"/>
          <w:szCs w:val="24"/>
          <w:lang w:eastAsia="en-GB"/>
        </w:rPr>
        <w:t>Taught Courses</w:t>
      </w:r>
      <w:r>
        <w:rPr>
          <w:rFonts w:ascii="Arial" w:hAnsi="Arial" w:eastAsia="Times New Roman" w:cs="Arial"/>
          <w:szCs w:val="24"/>
          <w:lang w:eastAsia="en-GB"/>
        </w:rPr>
        <w:t xml:space="preserve"> of Study</w:t>
      </w:r>
      <w:r w:rsidRPr="00F579C0">
        <w:rPr>
          <w:rFonts w:ascii="Arial" w:hAnsi="Arial" w:eastAsia="Times New Roman" w:cs="Arial"/>
          <w:szCs w:val="24"/>
          <w:lang w:eastAsia="en-GB"/>
        </w:rPr>
        <w:t xml:space="preserve">). </w:t>
      </w:r>
    </w:p>
    <w:p w:rsidRPr="00066D27" w:rsidR="00E83AA9" w:rsidP="006A5A60" w:rsidRDefault="00E83AA9" w14:paraId="3F717A97" w14:textId="77777777">
      <w:pPr>
        <w:pStyle w:val="ListParagraph"/>
        <w:numPr>
          <w:ilvl w:val="0"/>
          <w:numId w:val="20"/>
        </w:numPr>
        <w:spacing w:after="120" w:line="240" w:lineRule="auto"/>
        <w:ind w:left="851" w:right="237" w:hanging="851"/>
        <w:contextualSpacing w:val="0"/>
        <w:rPr>
          <w:rFonts w:ascii="Arial" w:hAnsi="Arial" w:cs="Arial"/>
          <w:szCs w:val="24"/>
        </w:rPr>
      </w:pPr>
      <w:r w:rsidRPr="00F579C0">
        <w:rPr>
          <w:rFonts w:ascii="Arial" w:hAnsi="Arial" w:eastAsia="Times New Roman" w:cs="Arial"/>
          <w:szCs w:val="24"/>
          <w:lang w:eastAsia="en-GB"/>
        </w:rPr>
        <w:t>Applications for mitigation relating to coursework extension requests (see Appendix 2), missing schedule</w:t>
      </w:r>
      <w:r>
        <w:rPr>
          <w:rFonts w:ascii="Arial" w:hAnsi="Arial" w:eastAsia="Times New Roman" w:cs="Arial"/>
          <w:szCs w:val="24"/>
          <w:lang w:eastAsia="en-GB"/>
        </w:rPr>
        <w:t>d</w:t>
      </w:r>
      <w:r w:rsidRPr="00F579C0">
        <w:rPr>
          <w:rFonts w:ascii="Arial" w:hAnsi="Arial" w:eastAsia="Times New Roman" w:cs="Arial"/>
          <w:szCs w:val="24"/>
          <w:lang w:eastAsia="en-GB"/>
        </w:rPr>
        <w:t xml:space="preserve"> onsite or scheduled online assessments or the late submission of coursework are normally considered by the Chair of the Mitigation Committee (or nominee) on an </w:t>
      </w:r>
      <w:r w:rsidRPr="00F112A9">
        <w:rPr>
          <w:rFonts w:ascii="Arial" w:hAnsi="Arial" w:eastAsia="Times New Roman" w:cs="Arial"/>
          <w:i/>
          <w:szCs w:val="24"/>
          <w:lang w:eastAsia="en-GB"/>
        </w:rPr>
        <w:t>ad hoc</w:t>
      </w:r>
      <w:r w:rsidRPr="00F579C0">
        <w:rPr>
          <w:rFonts w:ascii="Arial" w:hAnsi="Arial" w:eastAsia="Times New Roman" w:cs="Arial"/>
          <w:szCs w:val="24"/>
          <w:lang w:eastAsia="en-GB"/>
        </w:rPr>
        <w:t xml:space="preserve"> basis as required, in order that such matters might be resolved in a timely fashion. </w:t>
      </w:r>
    </w:p>
    <w:p w:rsidRPr="00066D27" w:rsidR="00E83AA9" w:rsidP="006A5A60" w:rsidRDefault="00E83AA9" w14:paraId="7F78CCB1" w14:textId="77777777">
      <w:pPr>
        <w:pStyle w:val="ListParagraph"/>
        <w:numPr>
          <w:ilvl w:val="0"/>
          <w:numId w:val="20"/>
        </w:numPr>
        <w:spacing w:after="120" w:line="240" w:lineRule="auto"/>
        <w:ind w:left="851" w:right="237" w:hanging="851"/>
        <w:contextualSpacing w:val="0"/>
        <w:rPr>
          <w:rFonts w:ascii="Arial" w:hAnsi="Arial" w:cs="Arial"/>
          <w:szCs w:val="24"/>
        </w:rPr>
      </w:pPr>
      <w:r>
        <w:rPr>
          <w:rFonts w:ascii="Arial" w:hAnsi="Arial" w:cs="Arial"/>
          <w:szCs w:val="24"/>
        </w:rPr>
        <w:t>Where coursework assessment(s) are disregarded on an ad-hoc basis, the Chair of the Mitigation Committee (or nominee) must ensure:</w:t>
      </w:r>
    </w:p>
    <w:p w:rsidR="00E83AA9" w:rsidP="006A5A60" w:rsidRDefault="00E83AA9" w14:paraId="58519A56" w14:textId="77777777">
      <w:pPr>
        <w:pStyle w:val="ListParagraph"/>
        <w:numPr>
          <w:ilvl w:val="1"/>
          <w:numId w:val="20"/>
        </w:numPr>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That the learning outcomes of the module in question can be tested and met by other assessments in that module;</w:t>
      </w:r>
    </w:p>
    <w:p w:rsidRPr="00F579C0" w:rsidR="00E83AA9" w:rsidP="006A5A60" w:rsidRDefault="00E83AA9" w14:paraId="4D9AAEC8" w14:textId="77777777">
      <w:pPr>
        <w:pStyle w:val="ListParagraph"/>
        <w:numPr>
          <w:ilvl w:val="1"/>
          <w:numId w:val="20"/>
        </w:numPr>
        <w:spacing w:after="120" w:line="240" w:lineRule="auto"/>
        <w:ind w:right="237"/>
        <w:contextualSpacing w:val="0"/>
        <w:rPr>
          <w:rFonts w:ascii="Arial" w:hAnsi="Arial" w:eastAsia="Times New Roman" w:cs="Arial"/>
          <w:szCs w:val="24"/>
          <w:lang w:eastAsia="en-GB"/>
        </w:rPr>
      </w:pPr>
      <w:r>
        <w:rPr>
          <w:rFonts w:ascii="Arial" w:hAnsi="Arial" w:eastAsia="Times New Roman" w:cs="Arial"/>
          <w:szCs w:val="24"/>
          <w:lang w:eastAsia="en-GB"/>
        </w:rPr>
        <w:t xml:space="preserve">That appropriate records are retained and reported to the Mitigation Committee in order to ensure that the cumulative disregarding limits permitted for the stage for an individual student are not exceeded (see section 2.2 and 2.3 of </w:t>
      </w:r>
      <w:r w:rsidR="006A5A60">
        <w:rPr>
          <w:rFonts w:ascii="Arial" w:hAnsi="Arial" w:eastAsia="Times New Roman" w:cs="Arial"/>
          <w:szCs w:val="24"/>
          <w:lang w:eastAsia="en-GB"/>
        </w:rPr>
        <w:t xml:space="preserve">Annex 9 </w:t>
      </w:r>
      <w:hyperlink w:history="1" r:id="rId14">
        <w:r w:rsidRPr="006A5A60">
          <w:rPr>
            <w:rStyle w:val="Hyperlink"/>
            <w:rFonts w:ascii="Arial" w:hAnsi="Arial" w:eastAsia="Times New Roman" w:cs="Arial"/>
            <w:szCs w:val="24"/>
            <w:lang w:eastAsia="en-GB"/>
          </w:rPr>
          <w:t>Appendix 1</w:t>
        </w:r>
      </w:hyperlink>
      <w:r>
        <w:rPr>
          <w:rFonts w:ascii="Arial" w:hAnsi="Arial" w:eastAsia="Times New Roman" w:cs="Arial"/>
          <w:szCs w:val="24"/>
          <w:lang w:eastAsia="en-GB"/>
        </w:rPr>
        <w:t>).</w:t>
      </w:r>
    </w:p>
    <w:p w:rsidRPr="00F579C0" w:rsidR="00E83AA9" w:rsidP="006A5A60" w:rsidRDefault="00E83AA9" w14:paraId="42300AD1" w14:textId="77777777">
      <w:pPr>
        <w:pStyle w:val="ListParagraph"/>
        <w:numPr>
          <w:ilvl w:val="0"/>
          <w:numId w:val="20"/>
        </w:numPr>
        <w:spacing w:after="120" w:line="240" w:lineRule="auto"/>
        <w:ind w:left="851" w:right="237" w:hanging="851"/>
        <w:contextualSpacing w:val="0"/>
        <w:rPr>
          <w:rFonts w:ascii="Arial" w:hAnsi="Arial" w:eastAsia="Times New Roman" w:cs="Arial"/>
          <w:szCs w:val="24"/>
          <w:lang w:eastAsia="en-GB"/>
        </w:rPr>
      </w:pPr>
      <w:r w:rsidRPr="00F579C0">
        <w:rPr>
          <w:rFonts w:ascii="Arial" w:hAnsi="Arial" w:eastAsia="Times New Roman" w:cs="Arial"/>
          <w:szCs w:val="24"/>
          <w:lang w:eastAsia="en-GB"/>
        </w:rPr>
        <w:t>Applications for mitigation relating to the non-submission of coursework, absence from examination(s), and to impaired performance in coursework or examination are normally considered by Mitigation Committees on Behalf of Boards of Examiners. The Committees make recommendations to the relevant Board of Examiners.</w:t>
      </w:r>
    </w:p>
    <w:p w:rsidRPr="00F579C0" w:rsidR="00E83AA9" w:rsidP="006A5A60" w:rsidRDefault="00E83AA9" w14:paraId="481BDDCD" w14:textId="77777777">
      <w:pPr>
        <w:pStyle w:val="ListParagraph"/>
        <w:numPr>
          <w:ilvl w:val="0"/>
          <w:numId w:val="21"/>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All information and evidence submitted as part of a claim for mitigation must be treated as sensitive personal data under GDPR legislation (‘special category data’) and processed as such. Materials must be kept secure, with access restricted to those staff who have a legitimate reason for accessing it. </w:t>
      </w:r>
    </w:p>
    <w:p w:rsidRPr="00F579C0" w:rsidR="00E83AA9" w:rsidP="006A5A60" w:rsidRDefault="00E83AA9" w14:paraId="7018CE32" w14:textId="77777777">
      <w:pPr>
        <w:pStyle w:val="ListParagraph"/>
        <w:numPr>
          <w:ilvl w:val="0"/>
          <w:numId w:val="21"/>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When assessing claims for extenuating circumstances, the Mitigation Committee will consider:</w:t>
      </w:r>
    </w:p>
    <w:p w:rsidRPr="00F579C0" w:rsidR="00E83AA9" w:rsidP="006A5A60" w:rsidRDefault="00E83AA9" w14:paraId="02AB545F" w14:textId="77777777">
      <w:pPr>
        <w:pStyle w:val="ListParagraph"/>
        <w:numPr>
          <w:ilvl w:val="0"/>
          <w:numId w:val="12"/>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whether the circumstances underlying the claim are suitable for extenuation in line with the definition set out at</w:t>
      </w:r>
      <w:r>
        <w:rPr>
          <w:rFonts w:ascii="Arial" w:hAnsi="Arial" w:eastAsia="Times New Roman" w:cs="Arial"/>
          <w:szCs w:val="24"/>
          <w:lang w:eastAsia="en-GB"/>
        </w:rPr>
        <w:t xml:space="preserve"> section</w:t>
      </w:r>
      <w:r w:rsidRPr="00F579C0">
        <w:rPr>
          <w:rFonts w:ascii="Arial" w:hAnsi="Arial" w:eastAsia="Times New Roman" w:cs="Arial"/>
          <w:szCs w:val="24"/>
          <w:lang w:eastAsia="en-GB"/>
        </w:rPr>
        <w:t xml:space="preserve"> 1.3 above; </w:t>
      </w:r>
    </w:p>
    <w:p w:rsidRPr="00F579C0" w:rsidR="00E83AA9" w:rsidP="006A5A60" w:rsidRDefault="00E83AA9" w14:paraId="01D06BE6" w14:textId="77777777">
      <w:pPr>
        <w:pStyle w:val="ListParagraph"/>
        <w:numPr>
          <w:ilvl w:val="0"/>
          <w:numId w:val="12"/>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the severity of the impact of the mitigating circumstances on the student’s academic performance </w:t>
      </w:r>
    </w:p>
    <w:p w:rsidRPr="00F579C0" w:rsidR="00E83AA9" w:rsidP="006A5A60" w:rsidRDefault="00E83AA9" w14:paraId="33C8108D" w14:textId="168CDD48">
      <w:pPr>
        <w:pStyle w:val="ListParagraph"/>
        <w:numPr>
          <w:ilvl w:val="0"/>
          <w:numId w:val="12"/>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the documentary evidence (where applicable</w:t>
      </w:r>
      <w:r w:rsidR="00284D7F">
        <w:rPr>
          <w:rFonts w:ascii="Arial" w:hAnsi="Arial" w:eastAsia="Times New Roman" w:cs="Arial"/>
          <w:szCs w:val="24"/>
          <w:lang w:eastAsia="en-GB"/>
        </w:rPr>
        <w:t xml:space="preserve"> – See Section 5 Supporting Evidence</w:t>
      </w:r>
      <w:r w:rsidRPr="00F579C0">
        <w:rPr>
          <w:rFonts w:ascii="Arial" w:hAnsi="Arial" w:eastAsia="Times New Roman" w:cs="Arial"/>
          <w:szCs w:val="24"/>
          <w:lang w:eastAsia="en-GB"/>
        </w:rPr>
        <w:t>);</w:t>
      </w:r>
    </w:p>
    <w:p w:rsidRPr="00F579C0" w:rsidR="00E83AA9" w:rsidP="006A5A60" w:rsidRDefault="00E83AA9" w14:paraId="1D2FD254" w14:textId="77777777">
      <w:pPr>
        <w:pStyle w:val="ListParagraph"/>
        <w:numPr>
          <w:ilvl w:val="0"/>
          <w:numId w:val="12"/>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the time period affected;</w:t>
      </w:r>
    </w:p>
    <w:p w:rsidRPr="00F579C0" w:rsidR="00E83AA9" w:rsidP="006A5A60" w:rsidRDefault="00E83AA9" w14:paraId="4EA49BEF" w14:textId="77777777">
      <w:pPr>
        <w:pStyle w:val="ListParagraph"/>
        <w:numPr>
          <w:ilvl w:val="0"/>
          <w:numId w:val="12"/>
        </w:numPr>
        <w:shd w:val="clear" w:color="auto" w:fill="FFFFFF"/>
        <w:spacing w:after="120" w:line="240" w:lineRule="auto"/>
        <w:ind w:left="993" w:right="237" w:hanging="426"/>
        <w:contextualSpacing w:val="0"/>
        <w:rPr>
          <w:rFonts w:ascii="Arial" w:hAnsi="Arial" w:eastAsia="Times New Roman" w:cs="Arial"/>
          <w:szCs w:val="24"/>
          <w:lang w:eastAsia="en-GB"/>
        </w:rPr>
      </w:pPr>
      <w:r w:rsidRPr="00F579C0">
        <w:rPr>
          <w:rFonts w:ascii="Arial" w:hAnsi="Arial" w:eastAsia="Times New Roman" w:cs="Arial"/>
          <w:szCs w:val="24"/>
          <w:lang w:eastAsia="en-GB"/>
        </w:rPr>
        <w:t>whether making a recommended adjustment would compromise the achievement of learning outcomes for the module and the maintenance of academic standards.</w:t>
      </w:r>
    </w:p>
    <w:p w:rsidRPr="00F579C0" w:rsidR="00E83AA9" w:rsidP="006A5A60" w:rsidRDefault="00E83AA9" w14:paraId="1BFEFB3D" w14:textId="77777777">
      <w:pPr>
        <w:pStyle w:val="ListParagraph"/>
        <w:numPr>
          <w:ilvl w:val="0"/>
          <w:numId w:val="22"/>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Based on the submission provided by the student, the Mitigation Committee will accept or reject the claim for mitigation. </w:t>
      </w:r>
    </w:p>
    <w:p w:rsidRPr="00F579C0" w:rsidR="00E83AA9" w:rsidP="006A5A60" w:rsidRDefault="00E83AA9" w14:paraId="1FF91DB7" w14:textId="77777777">
      <w:pPr>
        <w:pStyle w:val="ListParagraph"/>
        <w:numPr>
          <w:ilvl w:val="0"/>
          <w:numId w:val="22"/>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Claims for mitigation should be resolved and a final outcome determined during the academic year in which they were submitted. If examiners wish to revisit decisions made in earlier academic years, they should only do so where new evidence suggests there is good reason to do so or where the circumstances subsequently indicate that the mitigation undertaken in the previous year was inadequate to resolve the impact on the student’s performance. </w:t>
      </w:r>
    </w:p>
    <w:p w:rsidRPr="00F579C0" w:rsidR="00E83AA9" w:rsidP="006A5A60" w:rsidRDefault="00E83AA9" w14:paraId="32F5C50E" w14:textId="77777777">
      <w:pPr>
        <w:pStyle w:val="ListParagraph"/>
        <w:numPr>
          <w:ilvl w:val="0"/>
          <w:numId w:val="22"/>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Divisions must acknowledge in writing to students that their application for mitigation has been considered by the Mitigation Committee (or Chair on behalf of the Committee) and the outcome. An explanation must be given to the student so that they can fully understand the reasons for the decisions made by the Committee.</w:t>
      </w:r>
    </w:p>
    <w:p w:rsidRPr="00F579C0" w:rsidR="00E83AA9" w:rsidP="006A5A60" w:rsidRDefault="00E83AA9" w14:paraId="1995802E" w14:textId="77777777">
      <w:pPr>
        <w:pStyle w:val="ListParagraph"/>
        <w:numPr>
          <w:ilvl w:val="0"/>
          <w:numId w:val="22"/>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cs="Arial"/>
          <w:szCs w:val="24"/>
          <w:shd w:val="clear" w:color="auto" w:fill="FFFFFF"/>
        </w:rPr>
        <w:t>Identities of students shall not be made known during Mitigation Committee proceedings.</w:t>
      </w:r>
    </w:p>
    <w:p w:rsidRPr="00F579C0" w:rsidR="00E83AA9" w:rsidP="00E83AA9" w:rsidRDefault="00E83AA9" w14:paraId="1763333D" w14:textId="77777777">
      <w:pPr>
        <w:pStyle w:val="ListParagraph"/>
        <w:spacing w:after="120" w:line="240" w:lineRule="auto"/>
        <w:ind w:right="237"/>
        <w:contextualSpacing w:val="0"/>
        <w:rPr>
          <w:rFonts w:ascii="Arial" w:hAnsi="Arial" w:eastAsia="Times New Roman" w:cs="Arial"/>
          <w:b/>
          <w:szCs w:val="24"/>
          <w:lang w:eastAsia="en-GB"/>
        </w:rPr>
      </w:pPr>
    </w:p>
    <w:p w:rsidRPr="00F579C0" w:rsidR="00E83AA9" w:rsidP="006A5A60" w:rsidRDefault="00E83AA9" w14:paraId="53B16C6C" w14:textId="77777777">
      <w:pPr>
        <w:pStyle w:val="Heading1"/>
        <w:rPr>
          <w:rFonts w:eastAsia="Times New Roman"/>
        </w:rPr>
      </w:pPr>
      <w:bookmarkStart w:name="_Toc114557649" w:id="4"/>
      <w:r w:rsidRPr="00F579C0">
        <w:rPr>
          <w:rFonts w:eastAsia="Times New Roman"/>
        </w:rPr>
        <w:t>Supporting Evidence</w:t>
      </w:r>
      <w:bookmarkEnd w:id="4"/>
    </w:p>
    <w:p w:rsidRPr="000F1475" w:rsidR="002452CB" w:rsidP="006F55E8" w:rsidRDefault="006F55E8" w14:paraId="58994D17" w14:textId="77777777">
      <w:pPr>
        <w:pStyle w:val="Heading2"/>
        <w:numPr>
          <w:ilvl w:val="0"/>
          <w:numId w:val="0"/>
        </w:numPr>
        <w:ind w:left="567" w:hanging="567"/>
        <w:rPr>
          <w:rFonts w:eastAsia="Times New Roman"/>
        </w:rPr>
      </w:pPr>
      <w:bookmarkStart w:name="_Toc114557650" w:id="5"/>
      <w:r w:rsidRPr="006F55E8">
        <w:rPr>
          <w:rFonts w:eastAsia="Times New Roman"/>
          <w:b w:val="0"/>
        </w:rPr>
        <w:t>5.1</w:t>
      </w:r>
      <w:r>
        <w:rPr>
          <w:rFonts w:eastAsia="Times New Roman"/>
        </w:rPr>
        <w:tab/>
      </w:r>
      <w:r w:rsidRPr="000F1475" w:rsidR="002452CB">
        <w:rPr>
          <w:rFonts w:eastAsia="Times New Roman"/>
        </w:rPr>
        <w:t>Purpose of Supporting Evidence</w:t>
      </w:r>
      <w:bookmarkEnd w:id="5"/>
    </w:p>
    <w:p w:rsidR="001A7819" w:rsidP="00C54006" w:rsidRDefault="00E83AA9" w14:paraId="0C2F4DBD" w14:textId="77777777">
      <w:pPr>
        <w:ind w:left="567" w:firstLine="0"/>
      </w:pPr>
      <w:r w:rsidRPr="00F579C0">
        <w:t>The purpose of supporting evidence is to authenticate extenuating circumstances and explain their impact upon the student.</w:t>
      </w:r>
    </w:p>
    <w:p w:rsidRPr="001A7819" w:rsidR="00E83AA9" w:rsidP="006F55E8" w:rsidRDefault="00E83AA9" w14:paraId="0DC61219" w14:textId="77777777">
      <w:pPr>
        <w:pStyle w:val="Heading2"/>
        <w:numPr>
          <w:ilvl w:val="1"/>
          <w:numId w:val="35"/>
        </w:numPr>
        <w:ind w:left="567" w:hanging="567"/>
        <w:rPr>
          <w:rFonts w:eastAsia="Times New Roman" w:cs="Arial"/>
          <w:szCs w:val="24"/>
        </w:rPr>
      </w:pPr>
      <w:bookmarkStart w:name="_Toc114557651" w:id="6"/>
      <w:r w:rsidRPr="001A7819">
        <w:rPr>
          <w:rFonts w:eastAsia="Times New Roman"/>
        </w:rPr>
        <w:t>Self-Certification</w:t>
      </w:r>
      <w:bookmarkEnd w:id="6"/>
    </w:p>
    <w:p w:rsidRPr="00F579C0" w:rsidR="00E83AA9" w:rsidP="00C54006" w:rsidRDefault="00C54006" w14:paraId="02B0F2AC" w14:textId="77777777">
      <w:r>
        <w:t>5.2.1</w:t>
      </w:r>
      <w:r>
        <w:tab/>
      </w:r>
      <w:r w:rsidRPr="00F579C0" w:rsidR="00E83AA9">
        <w:t xml:space="preserve">Self-certification can be used as supporting evidence, where the period of self-certification coincides with non-submission of assessments, leads to late submission of assessments, absence from ICTs/practical assessment and absence from examinations. Students may self-certify for periods of up to seven-days at a time. They must inform their </w:t>
      </w:r>
      <w:r w:rsidR="00E83AA9">
        <w:t>Divisional</w:t>
      </w:r>
      <w:r w:rsidRPr="00F579C0" w:rsidR="00E83AA9">
        <w:t xml:space="preserve"> Administrative Office of their absence on the first day that they are unable to attend.</w:t>
      </w:r>
    </w:p>
    <w:p w:rsidRPr="00F579C0" w:rsidR="00E83AA9" w:rsidP="00C54006" w:rsidRDefault="00C54006" w14:paraId="595A5CB1" w14:textId="037D37FE">
      <w:r>
        <w:t>5.2.2</w:t>
      </w:r>
      <w:r>
        <w:tab/>
      </w:r>
      <w:r w:rsidR="00E83AA9">
        <w:t xml:space="preserve">There is no limit on the number of times a student can self-certify, however, self-certification used to cover periods that coincide with non-submission of assessment, late submission and absence from ICTs/practical assessments, is limited to two periods in an academic year. This restriction aims to ensure that, should a pattern of self-certification around assessments become </w:t>
      </w:r>
      <w:r w:rsidR="00E83AA9">
        <w:t>evident, the student in question is signposted to Student Support and Wellbeing for guidance and support, as such a pattern may be indicative of an underlying issue for which the student requ</w:t>
      </w:r>
      <w:r w:rsidR="00AD1F09">
        <w:t>ires assistance (see section 5.</w:t>
      </w:r>
      <w:r w:rsidR="00284D7F">
        <w:t>5</w:t>
      </w:r>
      <w:r w:rsidR="00AD1F09">
        <w:t>.4</w:t>
      </w:r>
      <w:r w:rsidR="00E83AA9">
        <w:t xml:space="preserve"> below). Where, following such a referral, the student does not engage with SSW, locally agreed reasonable adjustments should be considered, with advice sought from SSW by the Division, if required. </w:t>
      </w:r>
    </w:p>
    <w:p w:rsidRPr="00F579C0" w:rsidR="00E83AA9" w:rsidP="00C54006" w:rsidRDefault="00C54006" w14:paraId="7AA2D295" w14:textId="77777777">
      <w:r>
        <w:t>5.2.3</w:t>
      </w:r>
      <w:r>
        <w:tab/>
      </w:r>
      <w:r w:rsidRPr="00F579C0" w:rsidR="00E83AA9">
        <w:t>Where students have reached the limit of two periods per academic year for self-certification that coincide with coursework assessment (as per</w:t>
      </w:r>
      <w:r w:rsidR="00E83AA9">
        <w:t xml:space="preserve"> section</w:t>
      </w:r>
      <w:r w:rsidR="002C7938">
        <w:t xml:space="preserve"> 5.2.1</w:t>
      </w:r>
      <w:r w:rsidRPr="00F579C0" w:rsidR="00E83AA9">
        <w:t xml:space="preserve">), they may still use self-certification as evidence to support absence during the examination period. As laid out in 5.2.1, students must inform their </w:t>
      </w:r>
      <w:r w:rsidR="00E83AA9">
        <w:t>Divisional</w:t>
      </w:r>
      <w:r w:rsidRPr="00F579C0" w:rsidR="00E83AA9">
        <w:t xml:space="preserve"> Administrative Office of their absence on the first day that they are unable to attend their examination(s).</w:t>
      </w:r>
    </w:p>
    <w:p w:rsidRPr="00F579C0" w:rsidR="00E83AA9" w:rsidP="00C54006" w:rsidRDefault="00C54006" w14:paraId="53759EA1" w14:textId="500C0DB0">
      <w:r>
        <w:t>5.2.4</w:t>
      </w:r>
      <w:r>
        <w:tab/>
      </w:r>
      <w:r w:rsidRPr="00F579C0" w:rsidR="00E83AA9">
        <w:t xml:space="preserve">Students can also self-certify absence from taught sessions, for example, lectures and seminars. Although there is no limit on the number of times that a student can self-certify, students whose overall level of non-attendance becomes a cause for concern will be offered support in the first instance to help them get back on track with their studies. Following this initial intervention, if attendance continues to fall below warning levels, the </w:t>
      </w:r>
      <w:hyperlink w:history="1" w:anchor="attendance-engagement" r:id="rId15">
        <w:r w:rsidRPr="007F65B4" w:rsidR="00FA360F">
          <w:rPr>
            <w:rStyle w:val="Hyperlink"/>
            <w:rFonts w:eastAsia="Times New Roman"/>
            <w:szCs w:val="24"/>
          </w:rPr>
          <w:t>Student Attendance and Engagement Policy</w:t>
        </w:r>
      </w:hyperlink>
      <w:r w:rsidRPr="00F579C0" w:rsidR="00E83AA9">
        <w:t xml:space="preserve"> procedures may be triggered.</w:t>
      </w:r>
    </w:p>
    <w:p w:rsidRPr="00F579C0" w:rsidR="00E83AA9" w:rsidP="00C54006" w:rsidRDefault="00C54006" w14:paraId="6253741B" w14:textId="77777777">
      <w:r>
        <w:t>5.2.5</w:t>
      </w:r>
      <w:r>
        <w:tab/>
      </w:r>
      <w:r w:rsidRPr="00F579C0" w:rsidR="00E83AA9">
        <w:t>If a student returns to their studies on a date which falls just prior to one or more assessment deadlines, the Chair of the Mitigation Committee (or nominee) may permit an extension for these assessments if it is reasonable to assume that the period of self-certificated absence has impacted negatively on the student’s ability to prepare for and complete the assessments by the original deadline. No further evidence of illness other than the self-certificate will be required. The Chair of the Mitigation Committee (or nominee) will take into account the number of certified absences to date. Where an extension is granted under these circumstances, it will count towards the maximum number of two occasions in any academic year that a student might self-certify for periods of absence that coincide with coursework assessment deadlines.</w:t>
      </w:r>
    </w:p>
    <w:p w:rsidRPr="00F579C0" w:rsidR="00E83AA9" w:rsidP="00C54006" w:rsidRDefault="00C54006" w14:paraId="369A260C" w14:textId="77777777">
      <w:r>
        <w:t>5.2.6</w:t>
      </w:r>
      <w:r>
        <w:tab/>
      </w:r>
      <w:r w:rsidRPr="00F579C0" w:rsidR="00E83AA9">
        <w:t xml:space="preserve">Where a student has already self-certified twice for periods of absence that coincide with coursework deadlines during the academic year, any further applications relating to assessment, other than for examinations (for which self-certification remains permitted), must be accompanied by evidence as per sections 5.3 – 5.5. </w:t>
      </w:r>
    </w:p>
    <w:p w:rsidRPr="00F579C0" w:rsidR="00E83AA9" w:rsidP="006F55E8" w:rsidRDefault="00E83AA9" w14:paraId="52B265F6" w14:textId="77777777">
      <w:pPr>
        <w:pStyle w:val="Heading2"/>
        <w:numPr>
          <w:ilvl w:val="1"/>
          <w:numId w:val="35"/>
        </w:numPr>
        <w:ind w:left="567" w:hanging="567"/>
        <w:rPr>
          <w:rFonts w:eastAsia="Times New Roman"/>
        </w:rPr>
      </w:pPr>
      <w:bookmarkStart w:name="_Toc114557652" w:id="7"/>
      <w:r w:rsidRPr="00F579C0">
        <w:rPr>
          <w:rFonts w:eastAsia="Times New Roman"/>
        </w:rPr>
        <w:t>Letters and Statements from Medical Professionals and Professional Third Parties</w:t>
      </w:r>
      <w:bookmarkEnd w:id="7"/>
    </w:p>
    <w:p w:rsidRPr="00F579C0" w:rsidR="00E83AA9" w:rsidP="00C54006" w:rsidRDefault="00E83AA9" w14:paraId="20FE72C6" w14:textId="79C05059">
      <w:r w:rsidRPr="00717A3C">
        <w:t>5.3.1</w:t>
      </w:r>
      <w:r w:rsidRPr="00F579C0">
        <w:tab/>
      </w:r>
      <w:r w:rsidRPr="00F579C0">
        <w:t>Letters and statements must be from medical professionals and</w:t>
      </w:r>
      <w:r w:rsidR="0071198C">
        <w:t>/or</w:t>
      </w:r>
      <w:r w:rsidRPr="00F579C0">
        <w:t xml:space="preserve"> third parties who know the student in a professional capacity and can verify the circumstances from a position of authority (for example, Lecturer, Academic Adviser, College and Community Life Team, Students’ Union representative, GP, University Counsellor or University Student Support and Wellbeing Adviser).</w:t>
      </w:r>
      <w:r w:rsidR="00127104">
        <w:t xml:space="preserve"> </w:t>
      </w:r>
      <w:r w:rsidRPr="00F579C0">
        <w:t>The letter or statement should fulfil the following requirements:</w:t>
      </w:r>
    </w:p>
    <w:p w:rsidRPr="00F579C0" w:rsidR="00E83AA9" w:rsidP="6DE875E4" w:rsidRDefault="00E83AA9" w14:paraId="5C85D8B0" w14:textId="75D9C75D">
      <w:pPr>
        <w:pStyle w:val="ListParagraph"/>
        <w:numPr>
          <w:ilvl w:val="2"/>
          <w:numId w:val="13"/>
        </w:numPr>
        <w:shd w:val="clear" w:color="auto" w:fill="FFFFFF" w:themeFill="background1"/>
        <w:spacing w:after="120" w:line="240" w:lineRule="auto"/>
        <w:ind w:right="237" w:hanging="589"/>
        <w:rPr>
          <w:rFonts w:ascii="Arial" w:hAnsi="Arial" w:eastAsia="Times New Roman" w:cs="Arial"/>
          <w:lang w:eastAsia="en-GB"/>
        </w:rPr>
      </w:pPr>
      <w:r w:rsidRPr="5A8BC4AE">
        <w:rPr>
          <w:rFonts w:ascii="Arial" w:hAnsi="Arial" w:eastAsia="Times New Roman" w:cs="Arial"/>
          <w:lang w:eastAsia="en-GB"/>
        </w:rPr>
        <w:t xml:space="preserve">be provided either on headed notepaper giving the name and contact details of the provider or may take the form of an email sent from a professional or other email address that confirms the bona fide status of the provider; </w:t>
      </w:r>
    </w:p>
    <w:p w:rsidRPr="00F579C0" w:rsidR="00E83AA9" w:rsidP="5A8BC4AE" w:rsidRDefault="00E83AA9" w14:paraId="15D6D213" w14:textId="4045446F">
      <w:pPr>
        <w:pStyle w:val="ListParagraph"/>
        <w:numPr>
          <w:ilvl w:val="2"/>
          <w:numId w:val="13"/>
        </w:numPr>
        <w:shd w:val="clear" w:color="auto" w:fill="FFFFFF" w:themeFill="background1"/>
        <w:spacing w:after="120" w:line="240" w:lineRule="auto"/>
        <w:ind w:right="237" w:hanging="589"/>
        <w:rPr>
          <w:rFonts w:ascii="Arial" w:hAnsi="Arial" w:eastAsia="Times New Roman" w:cs="Arial"/>
          <w:lang w:eastAsia="en-GB"/>
        </w:rPr>
      </w:pPr>
      <w:r w:rsidRPr="5A8BC4AE">
        <w:rPr>
          <w:rFonts w:ascii="Arial" w:hAnsi="Arial" w:eastAsia="Times New Roman" w:cs="Arial"/>
          <w:lang w:eastAsia="en-GB"/>
        </w:rPr>
        <w:t>include a signature (where an electronic copy is sent to the student from the provider, the student should include the original email and attachment [where an attachment is provided] as this can be accepted as an electronic signature)</w:t>
      </w:r>
    </w:p>
    <w:p w:rsidRPr="00F579C0" w:rsidR="00E83AA9" w:rsidP="00127104" w:rsidRDefault="00E83AA9" w14:paraId="6D45D939" w14:textId="77777777">
      <w:pPr>
        <w:pStyle w:val="ListParagraph"/>
        <w:numPr>
          <w:ilvl w:val="2"/>
          <w:numId w:val="13"/>
        </w:numPr>
        <w:shd w:val="clear" w:color="auto" w:fill="FFFFFF"/>
        <w:spacing w:after="120" w:line="240" w:lineRule="auto"/>
        <w:ind w:right="237" w:hanging="589"/>
        <w:contextualSpacing w:val="0"/>
        <w:rPr>
          <w:rFonts w:ascii="Arial" w:hAnsi="Arial" w:eastAsia="Times New Roman" w:cs="Arial"/>
          <w:szCs w:val="24"/>
          <w:lang w:eastAsia="en-GB"/>
        </w:rPr>
      </w:pPr>
      <w:r w:rsidRPr="00F579C0">
        <w:rPr>
          <w:rFonts w:ascii="Arial" w:hAnsi="Arial" w:eastAsia="Times New Roman" w:cs="Arial"/>
          <w:szCs w:val="24"/>
          <w:lang w:eastAsia="en-GB"/>
        </w:rPr>
        <w:t>relate specifically to the dates and duration of the illness or incident</w:t>
      </w:r>
    </w:p>
    <w:p w:rsidRPr="00F579C0" w:rsidR="00E83AA9" w:rsidP="00127104" w:rsidRDefault="00E83AA9" w14:paraId="2BAB53FF" w14:textId="77777777">
      <w:pPr>
        <w:pStyle w:val="ListParagraph"/>
        <w:numPr>
          <w:ilvl w:val="2"/>
          <w:numId w:val="13"/>
        </w:numPr>
        <w:shd w:val="clear" w:color="auto" w:fill="FFFFFF"/>
        <w:spacing w:after="120" w:line="240" w:lineRule="auto"/>
        <w:ind w:right="237" w:hanging="589"/>
        <w:contextualSpacing w:val="0"/>
        <w:rPr>
          <w:rFonts w:ascii="Arial" w:hAnsi="Arial" w:eastAsia="Times New Roman" w:cs="Arial"/>
          <w:szCs w:val="24"/>
          <w:lang w:eastAsia="en-GB"/>
        </w:rPr>
      </w:pPr>
      <w:r w:rsidRPr="00F579C0">
        <w:rPr>
          <w:rFonts w:ascii="Arial" w:hAnsi="Arial" w:eastAsia="Times New Roman" w:cs="Arial"/>
          <w:szCs w:val="24"/>
          <w:lang w:eastAsia="en-GB"/>
        </w:rPr>
        <w:t>contain a clear medical diagnosis or opinion provided by an appropriately qualified practitioner (where applicable)</w:t>
      </w:r>
    </w:p>
    <w:p w:rsidRPr="00F579C0" w:rsidR="00E83AA9" w:rsidP="00127104" w:rsidRDefault="00E83AA9" w14:paraId="66C233E1" w14:textId="77777777">
      <w:pPr>
        <w:pStyle w:val="ListParagraph"/>
        <w:numPr>
          <w:ilvl w:val="2"/>
          <w:numId w:val="13"/>
        </w:numPr>
        <w:shd w:val="clear" w:color="auto" w:fill="FFFFFF"/>
        <w:spacing w:after="120" w:line="240" w:lineRule="auto"/>
        <w:ind w:right="237" w:hanging="589"/>
        <w:contextualSpacing w:val="0"/>
        <w:rPr>
          <w:rFonts w:ascii="Arial" w:hAnsi="Arial" w:eastAsia="Times New Roman" w:cs="Arial"/>
          <w:szCs w:val="24"/>
          <w:lang w:eastAsia="en-GB"/>
        </w:rPr>
      </w:pPr>
      <w:r w:rsidRPr="00F579C0">
        <w:rPr>
          <w:rFonts w:ascii="Arial" w:hAnsi="Arial" w:eastAsia="Times New Roman" w:cs="Arial"/>
          <w:szCs w:val="24"/>
          <w:lang w:eastAsia="en-GB"/>
        </w:rPr>
        <w:t>give details of the impact of the illness or incident on the student and, where known, on their academic performance</w:t>
      </w:r>
    </w:p>
    <w:p w:rsidRPr="00F579C0" w:rsidR="00E83AA9" w:rsidP="00127104" w:rsidRDefault="00E83AA9" w14:paraId="434D1B33" w14:textId="77777777">
      <w:pPr>
        <w:pStyle w:val="ListParagraph"/>
        <w:numPr>
          <w:ilvl w:val="2"/>
          <w:numId w:val="13"/>
        </w:numPr>
        <w:shd w:val="clear" w:color="auto" w:fill="FFFFFF"/>
        <w:spacing w:after="120" w:line="240" w:lineRule="auto"/>
        <w:ind w:right="237" w:hanging="589"/>
        <w:contextualSpacing w:val="0"/>
        <w:rPr>
          <w:rFonts w:ascii="Arial" w:hAnsi="Arial" w:eastAsia="Times New Roman" w:cs="Arial"/>
          <w:szCs w:val="24"/>
          <w:lang w:eastAsia="en-GB"/>
        </w:rPr>
      </w:pPr>
      <w:r w:rsidRPr="00F579C0">
        <w:rPr>
          <w:rFonts w:ascii="Arial" w:hAnsi="Arial" w:eastAsia="Times New Roman" w:cs="Arial"/>
          <w:szCs w:val="24"/>
          <w:lang w:eastAsia="en-GB"/>
        </w:rPr>
        <w:t>provide documentary evidence confirming any other relevant extenuating circumstances, as appropriate</w:t>
      </w:r>
    </w:p>
    <w:p w:rsidR="00E83AA9" w:rsidP="00127104" w:rsidRDefault="00E83AA9" w14:paraId="001952EA" w14:textId="77777777">
      <w:pPr>
        <w:shd w:val="clear" w:color="auto" w:fill="FFFFFF"/>
        <w:ind w:left="851" w:right="237" w:hanging="851"/>
        <w:rPr>
          <w:rFonts w:eastAsia="Times New Roman"/>
          <w:szCs w:val="24"/>
        </w:rPr>
      </w:pPr>
      <w:r w:rsidRPr="00717A3C">
        <w:rPr>
          <w:rFonts w:eastAsia="Times New Roman"/>
          <w:szCs w:val="24"/>
        </w:rPr>
        <w:t>5.3.2</w:t>
      </w:r>
      <w:r w:rsidRPr="00F579C0">
        <w:rPr>
          <w:rFonts w:eastAsia="Times New Roman"/>
          <w:szCs w:val="24"/>
        </w:rPr>
        <w:tab/>
      </w:r>
      <w:r w:rsidRPr="00F579C0">
        <w:rPr>
          <w:rFonts w:eastAsia="Times New Roman"/>
          <w:szCs w:val="24"/>
        </w:rPr>
        <w:t xml:space="preserve">Medical evidence should be provided to support a longer period of absence or incapacity, or where the student has asked for special consideration several times. </w:t>
      </w:r>
    </w:p>
    <w:p w:rsidRPr="00F579C0" w:rsidR="00E83AA9" w:rsidP="006F55E8" w:rsidRDefault="00E83AA9" w14:paraId="668E9740" w14:textId="77777777">
      <w:pPr>
        <w:pStyle w:val="Heading2"/>
        <w:numPr>
          <w:ilvl w:val="1"/>
          <w:numId w:val="35"/>
        </w:numPr>
        <w:ind w:left="567" w:hanging="567"/>
        <w:rPr>
          <w:rFonts w:eastAsia="Times New Roman"/>
        </w:rPr>
      </w:pPr>
      <w:bookmarkStart w:name="_Toc114557653" w:id="8"/>
      <w:r w:rsidRPr="00F579C0">
        <w:rPr>
          <w:rFonts w:eastAsia="Times New Roman"/>
        </w:rPr>
        <w:t>Death Certificates and Letters and Statements from Family Members, Friends and Fellow Students</w:t>
      </w:r>
      <w:bookmarkEnd w:id="8"/>
    </w:p>
    <w:p w:rsidRPr="00F579C0" w:rsidR="00E83AA9" w:rsidP="6DE875E4" w:rsidRDefault="00E83AA9" w14:paraId="074D4D98" w14:textId="3A80A320">
      <w:pPr>
        <w:pStyle w:val="ListParagraph"/>
        <w:numPr>
          <w:ilvl w:val="2"/>
          <w:numId w:val="35"/>
        </w:numPr>
        <w:shd w:val="clear" w:color="auto" w:fill="FFFFFF" w:themeFill="background1"/>
        <w:spacing w:after="120" w:line="240" w:lineRule="auto"/>
        <w:ind w:left="851" w:right="237" w:hanging="851"/>
        <w:rPr>
          <w:rFonts w:ascii="Arial" w:hAnsi="Arial" w:eastAsia="Times New Roman" w:cs="Arial"/>
          <w:lang w:eastAsia="en-GB"/>
        </w:rPr>
      </w:pPr>
      <w:r w:rsidRPr="1F1C9EFA">
        <w:rPr>
          <w:rFonts w:ascii="Arial" w:hAnsi="Arial" w:eastAsia="Times New Roman" w:cs="Arial"/>
          <w:lang w:eastAsia="en-GB"/>
        </w:rPr>
        <w:t xml:space="preserve">In some circumstances it can be difficult or inappropriate to obtain a letter or statement as laid out in section 5.3. For example, where a student has been affected by the illness or personal circumstances of a relative or close friend. In these types of situations, supporting letters or statements from family members, friends, senior tutor or similar staff members are acceptable. </w:t>
      </w:r>
    </w:p>
    <w:p w:rsidRPr="00F579C0" w:rsidR="00E83AA9" w:rsidP="1F1C9EFA" w:rsidRDefault="00E83AA9" w14:paraId="3BA66B14" w14:textId="210FBC49">
      <w:pPr>
        <w:pStyle w:val="ListParagraph"/>
        <w:numPr>
          <w:ilvl w:val="2"/>
          <w:numId w:val="35"/>
        </w:numPr>
        <w:shd w:val="clear" w:color="auto" w:fill="FFFFFF" w:themeFill="background1"/>
        <w:spacing w:after="120" w:line="240" w:lineRule="auto"/>
        <w:ind w:left="851" w:right="237" w:hanging="851"/>
        <w:rPr>
          <w:rFonts w:ascii="Arial" w:hAnsi="Arial" w:eastAsia="Times New Roman" w:cs="Arial"/>
          <w:lang w:eastAsia="en-GB"/>
        </w:rPr>
      </w:pPr>
      <w:r w:rsidRPr="1F1C9EFA">
        <w:rPr>
          <w:rFonts w:ascii="Arial" w:hAnsi="Arial" w:eastAsia="Times New Roman" w:cs="Arial"/>
          <w:lang w:eastAsia="en-GB"/>
        </w:rPr>
        <w:t>In cases of bereavement</w:t>
      </w:r>
      <w:r w:rsidRPr="1F1C9EFA" w:rsidR="0071198C">
        <w:rPr>
          <w:rFonts w:ascii="Arial" w:hAnsi="Arial" w:eastAsia="Times New Roman" w:cs="Arial"/>
          <w:lang w:eastAsia="en-GB"/>
        </w:rPr>
        <w:t>,</w:t>
      </w:r>
      <w:r w:rsidRPr="1F1C9EFA">
        <w:rPr>
          <w:rFonts w:ascii="Arial" w:hAnsi="Arial" w:eastAsia="Times New Roman" w:cs="Arial"/>
          <w:lang w:eastAsia="en-GB"/>
        </w:rPr>
        <w:t xml:space="preserve"> students may wish to provide a death certificate as supporting evidence to confirm the death of a family member or a close friend, however, this is not essential. A statement from a student, with a </w:t>
      </w:r>
      <w:r w:rsidRPr="1F1C9EFA">
        <w:rPr>
          <w:rFonts w:ascii="Arial" w:hAnsi="Arial" w:eastAsia="Times New Roman" w:cs="Arial"/>
          <w:lang w:eastAsia="en-GB"/>
        </w:rPr>
        <w:t>supporting letter from a family member, friend or personal tutor is sufficient and may provide better information than a death certificate.</w:t>
      </w:r>
    </w:p>
    <w:p w:rsidRPr="00F579C0" w:rsidR="00E83AA9" w:rsidP="006F55E8" w:rsidRDefault="00E83AA9" w14:paraId="7A66B435" w14:textId="77777777">
      <w:pPr>
        <w:pStyle w:val="ListParagraph"/>
        <w:numPr>
          <w:ilvl w:val="2"/>
          <w:numId w:val="35"/>
        </w:numPr>
        <w:shd w:val="clear" w:color="auto" w:fill="FFFFFF"/>
        <w:spacing w:after="120" w:line="240" w:lineRule="auto"/>
        <w:ind w:left="851" w:right="237" w:hanging="851"/>
        <w:contextualSpacing w:val="0"/>
        <w:rPr>
          <w:rFonts w:ascii="Arial" w:hAnsi="Arial" w:eastAsia="Times New Roman" w:cs="Arial"/>
          <w:szCs w:val="24"/>
          <w:lang w:eastAsia="en-GB"/>
        </w:rPr>
      </w:pPr>
      <w:r w:rsidRPr="1F1C9EFA">
        <w:rPr>
          <w:rFonts w:ascii="Arial" w:hAnsi="Arial" w:eastAsia="Times New Roman" w:cs="Arial"/>
          <w:lang w:eastAsia="en-GB"/>
        </w:rPr>
        <w:t>However, where the effects of the circumstances have longer-term impacts on the student’s academic performance, it will be necessary to provide evidence as described in 5.1.</w:t>
      </w:r>
    </w:p>
    <w:p w:rsidR="1F1C9EFA" w:rsidP="1F1C9EFA" w:rsidRDefault="1F1C9EFA" w14:paraId="62E18A26" w14:textId="0CA18EC2">
      <w:pPr>
        <w:pStyle w:val="Heading2"/>
        <w:numPr>
          <w:ilvl w:val="1"/>
          <w:numId w:val="35"/>
        </w:numPr>
        <w:ind w:left="567" w:hanging="567"/>
        <w:rPr>
          <w:rFonts w:eastAsia="Times New Roman"/>
        </w:rPr>
      </w:pPr>
      <w:bookmarkStart w:name="_Toc114557654" w:id="9"/>
      <w:r w:rsidRPr="1F1C9EFA">
        <w:rPr>
          <w:rFonts w:eastAsia="Times New Roman"/>
        </w:rPr>
        <w:t>Inclusive Learning Plan</w:t>
      </w:r>
      <w:bookmarkEnd w:id="9"/>
    </w:p>
    <w:p w:rsidR="00E83AA9" w:rsidP="005D3098" w:rsidRDefault="00E83AA9" w14:paraId="3B6FB4A1" w14:textId="007D2BA6">
      <w:pPr>
        <w:ind w:left="0" w:firstLine="0"/>
      </w:pPr>
      <w:r>
        <w:t>5.5.1</w:t>
      </w:r>
      <w:r>
        <w:tab/>
      </w:r>
      <w:r>
        <w:t xml:space="preserve">Students with a fluctuating condition that is covered by an Inclusive Learning Plan (‘ILP’) who suffer an acute episode or worsening of a fluctuating condition </w:t>
      </w:r>
      <w:r w:rsidRPr="005D3098">
        <w:t>are not required to submit fresh medical or other evidence related to the condition</w:t>
      </w:r>
      <w:r>
        <w:t xml:space="preserve"> when requesting mitigation.  Divisions must accept that the ILP constitutes the already established evidence-base for such applications.</w:t>
      </w:r>
    </w:p>
    <w:p w:rsidRPr="005D3098" w:rsidR="00974D53" w:rsidP="1F1C9EFA" w:rsidRDefault="00974D53" w14:paraId="6228546A" w14:textId="50F59881">
      <w:r>
        <w:t>5.5.2</w:t>
      </w:r>
      <w:r>
        <w:tab/>
      </w:r>
      <w:r w:rsidR="00E83AA9">
        <w:t>While Schools should not require the resubmission of evidence already provided for an existing ILP, students may be required to submit evidence relating to conditions or extenuating circumstances that are not covered by that established arrangement</w:t>
      </w:r>
      <w:r>
        <w:tab/>
      </w:r>
    </w:p>
    <w:p w:rsidRPr="00F579C0" w:rsidR="00E83AA9" w:rsidP="006F55E8" w:rsidRDefault="00E83AA9" w14:paraId="511C3C34" w14:textId="77777777">
      <w:pPr>
        <w:pStyle w:val="Heading2"/>
        <w:numPr>
          <w:ilvl w:val="1"/>
          <w:numId w:val="35"/>
        </w:numPr>
        <w:ind w:left="567" w:hanging="567"/>
        <w:rPr>
          <w:rFonts w:eastAsia="Times New Roman"/>
        </w:rPr>
      </w:pPr>
      <w:bookmarkStart w:name="_Toc114557655" w:id="10"/>
      <w:r w:rsidRPr="38331A7A">
        <w:rPr>
          <w:rFonts w:eastAsia="Times New Roman"/>
        </w:rPr>
        <w:t>Other forms of Evidence</w:t>
      </w:r>
      <w:bookmarkEnd w:id="10"/>
      <w:r w:rsidRPr="38331A7A">
        <w:rPr>
          <w:rFonts w:eastAsia="Times New Roman"/>
        </w:rPr>
        <w:t xml:space="preserve"> </w:t>
      </w:r>
    </w:p>
    <w:p w:rsidRPr="00A53C33" w:rsidR="00E83AA9" w:rsidP="008E3BB2" w:rsidRDefault="00A53C33" w14:paraId="433E86E9" w14:textId="725FD763">
      <w:r>
        <w:t>5.6.1</w:t>
      </w:r>
      <w:r>
        <w:tab/>
      </w:r>
      <w:r w:rsidR="00E83AA9">
        <w:t>Students may wish to provide other forms of supporting evidence, for example, screen shots from social media applications, video/audio recordings and photographs. In all cases, the evidence must clearly relate specifically to the extenuating circumstances and their impact upon the student.</w:t>
      </w:r>
    </w:p>
    <w:p w:rsidRPr="00F579C0" w:rsidR="00E83AA9" w:rsidP="008E3BB2" w:rsidRDefault="008E3BB2" w14:paraId="50CA6153" w14:textId="61D6EBFF">
      <w:r>
        <w:t>5.6.2</w:t>
      </w:r>
      <w:r>
        <w:tab/>
      </w:r>
      <w:r w:rsidR="00E83AA9">
        <w:t>Medical certificates and other supporting documentation should be provided in English. If the original documentation is not in English, the student is required to also submit a translation into English that has been provided either by an accredited organisation or verified in writing by a member of University staff fluent in the original language.</w:t>
      </w:r>
    </w:p>
    <w:p w:rsidRPr="00F579C0" w:rsidR="00E83AA9" w:rsidP="1F1C9EFA" w:rsidRDefault="008E3BB2" w14:paraId="7F048E55" w14:textId="64C4DBEB">
      <w:r>
        <w:t>5.6.3</w:t>
      </w:r>
      <w:r>
        <w:tab/>
      </w:r>
      <w:r w:rsidR="00E83AA9">
        <w:t>If submitting</w:t>
      </w:r>
      <w:r w:rsidR="007E7970">
        <w:t xml:space="preserve"> </w:t>
      </w:r>
      <w:r w:rsidR="00E83AA9">
        <w:t>relevant evidence pertaining to the circumstances of a third-party, the student must obtain the permission of the third party before doing so.</w:t>
      </w:r>
      <w:r w:rsidR="007E7970">
        <w:rPr>
          <w:rStyle w:val="FootnoteReference"/>
        </w:rPr>
        <w:footnoteReference w:id="1"/>
      </w:r>
    </w:p>
    <w:p w:rsidRPr="00881BD0" w:rsidR="00E83AA9" w:rsidP="1F1C9EFA" w:rsidRDefault="008E3BB2" w14:paraId="6CD54345" w14:textId="3BB73BCE">
      <w:pPr>
        <w:rPr>
          <w:b/>
          <w:bCs/>
        </w:rPr>
      </w:pPr>
      <w:r>
        <w:t>5.6.4</w:t>
      </w:r>
      <w:r>
        <w:tab/>
      </w:r>
      <w:r w:rsidR="00E83AA9">
        <w:t>Where a student discloses a disability or ongoing personal/health circumstances the student must be signposted to Student Support and Wellbeing to ensure that ongoing support is implemented, including the creation of an Inclusive Learning Plan, if appropriate</w:t>
      </w:r>
      <w:r w:rsidRPr="00881BD0" w:rsidR="00E83AA9">
        <w:rPr>
          <w:b/>
          <w:bCs/>
        </w:rPr>
        <w:t xml:space="preserve">. Where, following such a disclosure, the student does not engage with SSW, locally </w:t>
      </w:r>
      <w:r w:rsidRPr="00881BD0" w:rsidR="00E83AA9">
        <w:rPr>
          <w:b/>
          <w:bCs/>
        </w:rPr>
        <w:t>agreed reasonable adjustments should be considered, with advice sought from SSW by the Division, if required.</w:t>
      </w:r>
    </w:p>
    <w:p w:rsidRPr="00F579C0" w:rsidR="00E83AA9" w:rsidP="00E83AA9" w:rsidRDefault="00E83AA9" w14:paraId="4C829997" w14:textId="77777777">
      <w:pPr>
        <w:shd w:val="clear" w:color="auto" w:fill="FFFFFF"/>
        <w:ind w:right="237"/>
        <w:jc w:val="both"/>
        <w:rPr>
          <w:rFonts w:eastAsia="Times New Roman"/>
          <w:szCs w:val="24"/>
        </w:rPr>
      </w:pPr>
    </w:p>
    <w:p w:rsidRPr="00F654EC" w:rsidR="00E83AA9" w:rsidP="00127104" w:rsidRDefault="00E83AA9" w14:paraId="494B0282" w14:textId="77777777">
      <w:pPr>
        <w:pStyle w:val="Heading1"/>
        <w:rPr>
          <w:rFonts w:eastAsia="Times New Roman"/>
        </w:rPr>
      </w:pPr>
      <w:bookmarkStart w:name="_Toc114557656" w:id="11"/>
      <w:r w:rsidRPr="00F654EC">
        <w:rPr>
          <w:rFonts w:eastAsia="Times New Roman"/>
        </w:rPr>
        <w:t>Mitigation Committee Actions and Outcomes</w:t>
      </w:r>
      <w:bookmarkEnd w:id="11"/>
    </w:p>
    <w:p w:rsidRPr="00F579C0" w:rsidR="00E83AA9" w:rsidP="008E3BB2" w:rsidRDefault="00B37D0B" w14:paraId="5DAC0819" w14:textId="77777777">
      <w:pPr>
        <w:ind w:left="567" w:hanging="567"/>
      </w:pPr>
      <w:r>
        <w:t>6.1</w:t>
      </w:r>
      <w:r>
        <w:tab/>
      </w:r>
      <w:r w:rsidRPr="00F579C0" w:rsidR="00E83AA9">
        <w:t>The following actions and outcomes are available to Mitigation Committees when considering applications for extenuating circumstances.</w:t>
      </w:r>
    </w:p>
    <w:p w:rsidRPr="00F579C0" w:rsidR="00E83AA9" w:rsidP="004652CC" w:rsidRDefault="00E83AA9" w14:paraId="2BBF7CE0" w14:textId="77777777">
      <w:pPr>
        <w:pStyle w:val="Heading2"/>
        <w:numPr>
          <w:ilvl w:val="1"/>
          <w:numId w:val="30"/>
        </w:numPr>
        <w:ind w:left="567" w:hanging="567"/>
        <w:rPr>
          <w:rFonts w:eastAsia="Times New Roman"/>
        </w:rPr>
      </w:pPr>
      <w:bookmarkStart w:name="_Toc114557657" w:id="12"/>
      <w:r w:rsidRPr="00F579C0">
        <w:rPr>
          <w:rFonts w:eastAsia="Times New Roman"/>
        </w:rPr>
        <w:t>Extensions in advance to coursework assessment deadlines</w:t>
      </w:r>
      <w:bookmarkEnd w:id="12"/>
      <w:r w:rsidRPr="00F579C0">
        <w:rPr>
          <w:rFonts w:eastAsia="Times New Roman"/>
        </w:rPr>
        <w:t xml:space="preserve"> </w:t>
      </w:r>
    </w:p>
    <w:p w:rsidRPr="00F579C0" w:rsidR="00E83AA9" w:rsidP="00631012" w:rsidRDefault="00631012" w14:paraId="6C267663" w14:textId="24F287DF">
      <w:pPr>
        <w:ind w:left="567" w:hanging="567"/>
      </w:pPr>
      <w:r>
        <w:t>6.2.1</w:t>
      </w:r>
      <w:r>
        <w:tab/>
      </w:r>
      <w:r w:rsidR="00E83AA9">
        <w:t>Applications for extensions to coursework assessment deadlines must be made prior to the deadline (no later than 24 hours in advance). If a request to extend a coursework deadline or a scheduled assessment is accepted, the appropriate actions may include but are not limited to the following:</w:t>
      </w:r>
    </w:p>
    <w:p w:rsidRPr="008E3BB2" w:rsidR="00E83AA9" w:rsidP="6DE875E4" w:rsidRDefault="00E83AA9" w14:paraId="1A98AC14" w14:textId="0D883271">
      <w:pPr>
        <w:pStyle w:val="ListParagraph"/>
        <w:numPr>
          <w:ilvl w:val="0"/>
          <w:numId w:val="37"/>
        </w:numPr>
        <w:spacing w:after="120" w:line="240" w:lineRule="auto"/>
        <w:ind w:left="993" w:hanging="426"/>
        <w:rPr>
          <w:rFonts w:ascii="Arial" w:hAnsi="Arial" w:cs="Arial"/>
        </w:rPr>
      </w:pPr>
      <w:r w:rsidRPr="1F1C9EFA">
        <w:rPr>
          <w:rFonts w:ascii="Arial" w:hAnsi="Arial" w:cs="Arial"/>
        </w:rPr>
        <w:t>Maximum (normally) two-week extension depending upon the severity of the impact of the circumstances.</w:t>
      </w:r>
    </w:p>
    <w:p w:rsidRPr="008E3BB2" w:rsidR="00E83AA9" w:rsidP="00FC1832" w:rsidRDefault="00E83AA9" w14:paraId="6E0E3555" w14:textId="77777777">
      <w:pPr>
        <w:pStyle w:val="ListParagraph"/>
        <w:numPr>
          <w:ilvl w:val="0"/>
          <w:numId w:val="37"/>
        </w:numPr>
        <w:spacing w:after="120" w:line="240" w:lineRule="auto"/>
        <w:ind w:left="992" w:hanging="425"/>
        <w:contextualSpacing w:val="0"/>
        <w:rPr>
          <w:rFonts w:ascii="Arial" w:hAnsi="Arial" w:cs="Arial"/>
        </w:rPr>
      </w:pPr>
      <w:r w:rsidRPr="008E3BB2">
        <w:rPr>
          <w:rFonts w:ascii="Arial" w:hAnsi="Arial" w:cs="Arial"/>
        </w:rPr>
        <w:t xml:space="preserve">Maximum three-month extension for postgraduate dissertations. A subsequent extension may be granted only in exceptional circumstances. </w:t>
      </w:r>
    </w:p>
    <w:p w:rsidR="00E83AA9" w:rsidP="1F1C9EFA" w:rsidRDefault="00E83AA9" w14:paraId="3220F551" w14:textId="151517CB">
      <w:pPr>
        <w:pStyle w:val="ListParagraph"/>
        <w:numPr>
          <w:ilvl w:val="0"/>
          <w:numId w:val="37"/>
        </w:numPr>
        <w:spacing w:after="120" w:line="240" w:lineRule="auto"/>
        <w:ind w:left="993" w:hanging="426"/>
        <w:rPr>
          <w:rFonts w:ascii="Arial" w:hAnsi="Arial" w:cs="Arial"/>
        </w:rPr>
      </w:pPr>
      <w:r w:rsidRPr="1F1C9EFA">
        <w:rPr>
          <w:rFonts w:ascii="Arial" w:hAnsi="Arial" w:cs="Arial"/>
        </w:rPr>
        <w:t>Equal in duration in working days to the period of self-certification.</w:t>
      </w:r>
    </w:p>
    <w:p w:rsidR="000F4F7F" w:rsidP="000F4F7F" w:rsidRDefault="000F4F7F" w14:paraId="1C6E1BC3" w14:textId="77777777">
      <w:r>
        <w:t xml:space="preserve">6.2.2    The granting of an extension for any specific assessment does not prevent the Mitigation Committee from subsequently considering an application for mitigation relating to that assessment where the circumstances concerned had a significant or long-term impact on the student’s performance or ability to attend classes or submit work on time.  </w:t>
      </w:r>
    </w:p>
    <w:p w:rsidRPr="000F4F7F" w:rsidR="000F4F7F" w:rsidP="000F4F7F" w:rsidRDefault="000F4F7F" w14:paraId="653E7E1E" w14:textId="472BC8A7">
      <w:r>
        <w:t>6.2.3    For the avoidance of doubt it should be noted that extensions on grounds of extenuation may be granted with respect to coursework submitted as part of a resubmission for a failed module.</w:t>
      </w:r>
    </w:p>
    <w:p w:rsidRPr="00927446" w:rsidR="00E83AA9" w:rsidP="007B1B4F" w:rsidRDefault="00E83AA9" w14:paraId="65209467" w14:textId="64EC539C">
      <w:pPr>
        <w:ind w:left="0" w:firstLine="0"/>
        <w:rPr>
          <w:rFonts w:eastAsia="Arial Nova"/>
          <w:b/>
          <w:bCs/>
        </w:rPr>
      </w:pPr>
      <w:r w:rsidRPr="00927446">
        <w:rPr>
          <w:rFonts w:eastAsia="Arial Nova"/>
          <w:b/>
          <w:bCs/>
        </w:rPr>
        <w:t>6.3</w:t>
      </w:r>
      <w:r w:rsidRPr="007B1B4F">
        <w:rPr>
          <w:rFonts w:eastAsia="Arial Nova"/>
        </w:rPr>
        <w:t xml:space="preserve"> </w:t>
      </w:r>
      <w:r w:rsidRPr="00927446">
        <w:rPr>
          <w:rFonts w:eastAsia="Arial Nova"/>
          <w:b/>
          <w:bCs/>
        </w:rPr>
        <w:t>Extensions granted due to periods of absence coinciding with self-certification</w:t>
      </w:r>
    </w:p>
    <w:p w:rsidRPr="007B1B4F" w:rsidR="00E83AA9" w:rsidP="007B1B4F" w:rsidRDefault="00E83AA9" w14:paraId="6C0F438C" w14:textId="55973FA3">
      <w:pPr>
        <w:pStyle w:val="ListParagraph"/>
        <w:numPr>
          <w:ilvl w:val="0"/>
          <w:numId w:val="1"/>
        </w:numPr>
        <w:rPr>
          <w:rFonts w:ascii="Arial" w:hAnsi="Arial" w:eastAsia="Arial Nova" w:cs="Arial"/>
        </w:rPr>
      </w:pPr>
      <w:r w:rsidRPr="007B1B4F">
        <w:rPr>
          <w:rFonts w:ascii="Arial" w:hAnsi="Arial" w:eastAsia="Arial Nova" w:cs="Arial"/>
        </w:rPr>
        <w:t>Where a student’s period of self-certificated absence coincides with coursework deadlines, or their return date is just prior to a deadline, they may</w:t>
      </w:r>
      <w:r w:rsidRPr="009F0656">
        <w:rPr>
          <w:rFonts w:ascii="Arial Nova" w:hAnsi="Arial Nova" w:eastAsia="Arial Nova" w:cs="Arial Nova"/>
        </w:rPr>
        <w:t xml:space="preserve"> </w:t>
      </w:r>
      <w:r w:rsidRPr="007B1B4F">
        <w:rPr>
          <w:rFonts w:ascii="Arial" w:hAnsi="Arial" w:eastAsia="Arial Nova" w:cs="Arial"/>
        </w:rPr>
        <w:t xml:space="preserve">submit an application for an extension for those pieces of coursework. If a request for an extension is accepted, the appropriate actions include: </w:t>
      </w:r>
    </w:p>
    <w:p w:rsidRPr="007B1B4F" w:rsidR="00E83AA9" w:rsidP="007B1B4F" w:rsidRDefault="00E83AA9" w14:paraId="7D507196" w14:textId="77777777">
      <w:pPr>
        <w:pStyle w:val="ListParagraph"/>
        <w:numPr>
          <w:ilvl w:val="0"/>
          <w:numId w:val="2"/>
        </w:numPr>
        <w:spacing w:after="120" w:line="240" w:lineRule="auto"/>
        <w:rPr>
          <w:rFonts w:ascii="Arial" w:hAnsi="Arial" w:eastAsia="Arial Nova" w:cs="Arial"/>
        </w:rPr>
      </w:pPr>
      <w:r w:rsidRPr="007B1B4F">
        <w:rPr>
          <w:rFonts w:ascii="Arial" w:hAnsi="Arial" w:eastAsia="Arial Nova" w:cs="Arial"/>
        </w:rPr>
        <w:t>Extension of equal duration in working days to the period of absence;</w:t>
      </w:r>
    </w:p>
    <w:p w:rsidRPr="007B1B4F" w:rsidR="00E83AA9" w:rsidP="007B1B4F" w:rsidRDefault="00E83AA9" w14:paraId="7B0CC35E" w14:textId="18B0F69F">
      <w:pPr>
        <w:pStyle w:val="ListParagraph"/>
        <w:numPr>
          <w:ilvl w:val="0"/>
          <w:numId w:val="2"/>
        </w:numPr>
        <w:spacing w:after="120" w:line="240" w:lineRule="auto"/>
        <w:rPr>
          <w:rFonts w:ascii="Arial" w:hAnsi="Arial" w:eastAsia="Arial Nova" w:cs="Arial"/>
        </w:rPr>
      </w:pPr>
      <w:r w:rsidRPr="007B1B4F">
        <w:rPr>
          <w:rFonts w:ascii="Arial" w:hAnsi="Arial" w:eastAsia="Arial Nova" w:cs="Arial"/>
        </w:rPr>
        <w:t xml:space="preserve">If a student has already self-certified twice for periods of absence that coincide with coursework deadlines during the academic year, any further applications relating to assessment other than for examinations (for which </w:t>
      </w:r>
      <w:r w:rsidRPr="007B1B4F">
        <w:rPr>
          <w:rFonts w:ascii="Arial" w:hAnsi="Arial" w:eastAsia="Arial Nova" w:cs="Arial"/>
        </w:rPr>
        <w:t>self-certification remains permitted), must be accompanied by evidence as per section 5).</w:t>
      </w:r>
    </w:p>
    <w:p w:rsidR="1F1C9EFA" w:rsidP="1F1C9EFA" w:rsidRDefault="1F1C9EFA" w14:paraId="5BC4A484" w14:textId="0F3EF605">
      <w:pPr>
        <w:ind w:left="207"/>
      </w:pPr>
    </w:p>
    <w:p w:rsidRPr="00F579C0" w:rsidR="00E83AA9" w:rsidP="004652CC" w:rsidRDefault="004652CC" w14:paraId="356FEC95" w14:textId="7F7E1EFB">
      <w:pPr>
        <w:pStyle w:val="Heading2"/>
        <w:numPr>
          <w:ilvl w:val="0"/>
          <w:numId w:val="0"/>
        </w:numPr>
        <w:ind w:left="567" w:hanging="567"/>
        <w:rPr>
          <w:rFonts w:eastAsia="Times New Roman"/>
        </w:rPr>
      </w:pPr>
      <w:bookmarkStart w:name="_Toc114557658" w:id="13"/>
      <w:r w:rsidRPr="1F1C9EFA">
        <w:rPr>
          <w:rFonts w:eastAsia="Times New Roman"/>
          <w:b w:val="0"/>
        </w:rPr>
        <w:t>6.4</w:t>
      </w:r>
      <w:r>
        <w:tab/>
      </w:r>
      <w:r w:rsidRPr="1F1C9EFA" w:rsidR="00E83AA9">
        <w:rPr>
          <w:rFonts w:eastAsia="Times New Roman"/>
        </w:rPr>
        <w:t>Late coursework submissions</w:t>
      </w:r>
      <w:bookmarkEnd w:id="13"/>
    </w:p>
    <w:p w:rsidRPr="00F579C0" w:rsidR="00E83AA9" w:rsidP="1F1C9EFA" w:rsidRDefault="00E83AA9" w14:paraId="21D3E6E6" w14:textId="174F0B8B">
      <w:pPr>
        <w:ind w:left="567" w:firstLine="0"/>
      </w:pPr>
      <w:r>
        <w:t>Applications relevant to the late submission of coursework assessments must be made as soon as possible after the coursework deadline and before the final deadline set by the Division for the submission of all assessed coursework. If a request for a late submission is accepted, the appropriate actions may include but are not limited to the following:</w:t>
      </w:r>
    </w:p>
    <w:p w:rsidRPr="008E3BB2" w:rsidR="00E83AA9" w:rsidP="1F1C9EFA" w:rsidRDefault="00E83AA9" w14:paraId="594DC611" w14:textId="6EC8525C">
      <w:pPr>
        <w:pStyle w:val="ListParagraph"/>
        <w:numPr>
          <w:ilvl w:val="0"/>
          <w:numId w:val="38"/>
        </w:numPr>
        <w:spacing w:after="120" w:line="240" w:lineRule="auto"/>
        <w:ind w:left="992" w:hanging="425"/>
        <w:rPr>
          <w:rFonts w:ascii="Arial" w:hAnsi="Arial" w:cs="Arial"/>
        </w:rPr>
      </w:pPr>
      <w:r w:rsidRPr="1F1C9EFA">
        <w:rPr>
          <w:rFonts w:ascii="Arial" w:hAnsi="Arial" w:cs="Arial"/>
        </w:rPr>
        <w:t>Permit immediate submission of assessment, if available;</w:t>
      </w:r>
    </w:p>
    <w:p w:rsidRPr="008E3BB2" w:rsidR="00E83AA9" w:rsidP="1F1C9EFA" w:rsidRDefault="00E83AA9" w14:paraId="17B46314" w14:textId="2588E232">
      <w:pPr>
        <w:pStyle w:val="ListParagraph"/>
        <w:numPr>
          <w:ilvl w:val="0"/>
          <w:numId w:val="38"/>
        </w:numPr>
        <w:spacing w:after="120" w:line="240" w:lineRule="auto"/>
        <w:ind w:left="992" w:hanging="425"/>
        <w:rPr>
          <w:rFonts w:ascii="Arial" w:hAnsi="Arial" w:cs="Arial"/>
        </w:rPr>
      </w:pPr>
      <w:r w:rsidRPr="1F1C9EFA">
        <w:rPr>
          <w:rFonts w:ascii="Arial" w:hAnsi="Arial" w:cs="Arial"/>
        </w:rPr>
        <w:t>Maximum (normally) two-week extension from date of application, depending upon the severity of the impact of the circumstances.</w:t>
      </w:r>
    </w:p>
    <w:p w:rsidRPr="008E3BB2" w:rsidR="004652CC" w:rsidP="008E3BB2" w:rsidRDefault="00E83AA9" w14:paraId="7E49B521" w14:textId="77777777">
      <w:pPr>
        <w:pStyle w:val="ListParagraph"/>
        <w:numPr>
          <w:ilvl w:val="0"/>
          <w:numId w:val="38"/>
        </w:numPr>
        <w:spacing w:after="120" w:line="240" w:lineRule="auto"/>
        <w:ind w:left="992" w:hanging="425"/>
        <w:contextualSpacing w:val="0"/>
        <w:rPr>
          <w:rFonts w:ascii="Arial" w:hAnsi="Arial" w:cs="Arial"/>
        </w:rPr>
      </w:pPr>
      <w:r w:rsidRPr="008E3BB2">
        <w:rPr>
          <w:rFonts w:ascii="Arial" w:hAnsi="Arial" w:cs="Arial"/>
        </w:rPr>
        <w:t>Maximum three-month extension for postgraduate dissertations, from date of application. A subsequent or longer extension may be granted only in excepti</w:t>
      </w:r>
      <w:r w:rsidRPr="008E3BB2" w:rsidR="004652CC">
        <w:rPr>
          <w:rFonts w:ascii="Arial" w:hAnsi="Arial" w:cs="Arial"/>
        </w:rPr>
        <w:t>onal circumstances.</w:t>
      </w:r>
    </w:p>
    <w:p w:rsidRPr="00F579C0" w:rsidR="00E83AA9" w:rsidP="004652CC" w:rsidRDefault="004652CC" w14:paraId="6CB69C09" w14:textId="24777886">
      <w:pPr>
        <w:pStyle w:val="Heading2"/>
        <w:numPr>
          <w:ilvl w:val="0"/>
          <w:numId w:val="0"/>
        </w:numPr>
        <w:ind w:left="567" w:hanging="567"/>
        <w:rPr>
          <w:rFonts w:eastAsia="Times New Roman"/>
        </w:rPr>
      </w:pPr>
      <w:bookmarkStart w:name="_Toc114557659" w:id="14"/>
      <w:r w:rsidRPr="1F1C9EFA">
        <w:rPr>
          <w:rFonts w:eastAsia="Times New Roman"/>
          <w:b w:val="0"/>
        </w:rPr>
        <w:t>6.5</w:t>
      </w:r>
      <w:r>
        <w:tab/>
      </w:r>
      <w:r w:rsidRPr="1F1C9EFA" w:rsidR="00E83AA9">
        <w:rPr>
          <w:rFonts w:eastAsia="Times New Roman"/>
        </w:rPr>
        <w:t>Non-attendance at ICT or practical assessments</w:t>
      </w:r>
      <w:bookmarkEnd w:id="14"/>
    </w:p>
    <w:p w:rsidRPr="00F579C0" w:rsidR="00E83AA9" w:rsidP="00CB54C0" w:rsidRDefault="00E83AA9" w14:paraId="348CF896" w14:textId="77777777">
      <w:pPr>
        <w:ind w:left="567" w:firstLine="0"/>
      </w:pPr>
      <w:r w:rsidRPr="00F579C0">
        <w:t xml:space="preserve">If a student has failed to attend an ICT or a practical assessment they can submit an application to be considered by the Mitigation Committee within </w:t>
      </w:r>
      <w:r w:rsidRPr="00F579C0">
        <w:rPr>
          <w:b/>
        </w:rPr>
        <w:t>five working days</w:t>
      </w:r>
      <w:r w:rsidRPr="00F579C0">
        <w:t xml:space="preserve"> of the missed assessment. If a request for failure to attend is accepted, the appropriate actions include:</w:t>
      </w:r>
    </w:p>
    <w:p w:rsidRPr="00CB54C0" w:rsidR="00E83AA9" w:rsidP="00CB54C0" w:rsidRDefault="00E83AA9" w14:paraId="1F295AF3" w14:textId="77777777">
      <w:pPr>
        <w:pStyle w:val="ListParagraph"/>
        <w:numPr>
          <w:ilvl w:val="0"/>
          <w:numId w:val="39"/>
        </w:numPr>
        <w:spacing w:after="120" w:line="240" w:lineRule="auto"/>
        <w:ind w:left="992" w:hanging="425"/>
        <w:contextualSpacing w:val="0"/>
        <w:rPr>
          <w:rFonts w:ascii="Arial" w:hAnsi="Arial" w:cs="Arial"/>
        </w:rPr>
      </w:pPr>
      <w:r w:rsidRPr="00CB54C0">
        <w:rPr>
          <w:rFonts w:ascii="Arial" w:hAnsi="Arial" w:cs="Arial"/>
        </w:rPr>
        <w:t>Where appropriate, reschedule the assessment without penalty.</w:t>
      </w:r>
    </w:p>
    <w:p w:rsidRPr="00CB54C0" w:rsidR="00E83AA9" w:rsidP="00CB54C0" w:rsidRDefault="00E83AA9" w14:paraId="1092E88F" w14:textId="77777777">
      <w:pPr>
        <w:pStyle w:val="ListParagraph"/>
        <w:numPr>
          <w:ilvl w:val="0"/>
          <w:numId w:val="39"/>
        </w:numPr>
        <w:spacing w:after="120" w:line="240" w:lineRule="auto"/>
        <w:ind w:left="992" w:hanging="425"/>
        <w:contextualSpacing w:val="0"/>
        <w:rPr>
          <w:rFonts w:ascii="Arial" w:hAnsi="Arial" w:cs="Arial"/>
        </w:rPr>
      </w:pPr>
      <w:r w:rsidRPr="00CB54C0">
        <w:rPr>
          <w:rFonts w:ascii="Arial" w:hAnsi="Arial" w:cs="Arial"/>
        </w:rPr>
        <w:t xml:space="preserve">Where rescheduling would not be appropriate, consider disregarding the ICT or the practical assessment, provided that the relevant learning outcomes are tested elsewhere in the module in question. </w:t>
      </w:r>
    </w:p>
    <w:p w:rsidRPr="00F579C0" w:rsidR="00E83AA9" w:rsidP="00462EBD" w:rsidRDefault="00E83AA9" w14:paraId="6EF065FA" w14:textId="25772D2D">
      <w:pPr>
        <w:pStyle w:val="Heading2"/>
        <w:numPr>
          <w:ilvl w:val="0"/>
          <w:numId w:val="0"/>
        </w:numPr>
        <w:rPr>
          <w:rFonts w:eastAsia="Times New Roman"/>
        </w:rPr>
      </w:pPr>
      <w:bookmarkStart w:name="_Toc114557660" w:id="15"/>
      <w:r w:rsidRPr="1F1C9EFA">
        <w:rPr>
          <w:rFonts w:eastAsia="Times New Roman"/>
        </w:rPr>
        <w:t>6.6</w:t>
      </w:r>
      <w:r>
        <w:tab/>
      </w:r>
      <w:r w:rsidRPr="1F1C9EFA">
        <w:rPr>
          <w:rFonts w:eastAsia="Times New Roman"/>
        </w:rPr>
        <w:t>Non-submission of coursework</w:t>
      </w:r>
      <w:bookmarkEnd w:id="15"/>
    </w:p>
    <w:p w:rsidRPr="00F579C0" w:rsidR="00E83AA9" w:rsidP="00CB54C0" w:rsidRDefault="00F8146D" w14:paraId="17851239" w14:textId="06A11CB8">
      <w:r>
        <w:t>6.6.1</w:t>
      </w:r>
      <w:r>
        <w:tab/>
      </w:r>
      <w:r w:rsidR="00E83AA9">
        <w:t xml:space="preserve">If a student has failed to submit a piece of coursework and has not already applied for an extension, they may submit a Mitigation application to be considered by either the Chair of the Mitigation Committee or their nominee on an ad hoc basis, or by the full Mitigation Committee at the end of the academic year. </w:t>
      </w:r>
    </w:p>
    <w:p w:rsidR="00E83AA9" w:rsidP="00CB54C0" w:rsidRDefault="00212A81" w14:paraId="6718C57C" w14:textId="6DD76D4C">
      <w:r>
        <w:t>6.6.2</w:t>
      </w:r>
      <w:r>
        <w:tab/>
      </w:r>
      <w:r w:rsidR="00E83AA9">
        <w:t xml:space="preserve">If the request is accepted, the Chair or their nominee can take disregard action at the point of the mitigation application, or refer to the Mitigation Committee which will recommend appropriate action(s) to the Board of Examiners. These are laid out in </w:t>
      </w:r>
      <w:hyperlink r:id="rId16">
        <w:r w:rsidRPr="1F1C9EFA" w:rsidR="00E83AA9">
          <w:rPr>
            <w:rStyle w:val="Hyperlink"/>
            <w:rFonts w:eastAsia="Times New Roman"/>
          </w:rPr>
          <w:t>Appendix 1</w:t>
        </w:r>
      </w:hyperlink>
      <w:r w:rsidR="004652CC">
        <w:t xml:space="preserve"> to this</w:t>
      </w:r>
      <w:r w:rsidR="00E83AA9">
        <w:t xml:space="preserve"> Annex.</w:t>
      </w:r>
    </w:p>
    <w:p w:rsidRPr="00066D27" w:rsidR="00E83AA9" w:rsidP="00CB54C0" w:rsidRDefault="00212A81" w14:paraId="3C5D0967" w14:textId="7C88EE1F">
      <w:r>
        <w:t>6.6.3</w:t>
      </w:r>
      <w:r>
        <w:tab/>
      </w:r>
      <w:r w:rsidR="00E83AA9">
        <w:t>In the cases where the action is taken at the point of the Mitigation application, The Chair or their nominee must ensure that the condition</w:t>
      </w:r>
      <w:r w:rsidR="004652CC">
        <w:t>(s)</w:t>
      </w:r>
      <w:r w:rsidR="00E83AA9">
        <w:t xml:space="preserve"> stipulated</w:t>
      </w:r>
      <w:r w:rsidR="004652CC">
        <w:t xml:space="preserve"> as per 6.5.2</w:t>
      </w:r>
      <w:r w:rsidR="00E83AA9">
        <w:t xml:space="preserve"> are met. </w:t>
      </w:r>
    </w:p>
    <w:p w:rsidRPr="00F579C0" w:rsidR="00E83AA9" w:rsidP="00462EBD" w:rsidRDefault="00E83AA9" w14:paraId="583E88B6" w14:textId="0500B3D8">
      <w:pPr>
        <w:pStyle w:val="Heading2"/>
        <w:numPr>
          <w:ilvl w:val="0"/>
          <w:numId w:val="0"/>
        </w:numPr>
        <w:rPr>
          <w:rFonts w:eastAsia="Times New Roman"/>
        </w:rPr>
      </w:pPr>
      <w:bookmarkStart w:name="_Toc114557661" w:id="16"/>
      <w:r w:rsidRPr="1F1C9EFA">
        <w:rPr>
          <w:rFonts w:eastAsia="Times New Roman"/>
        </w:rPr>
        <w:t>6.7</w:t>
      </w:r>
      <w:r>
        <w:tab/>
      </w:r>
      <w:r w:rsidRPr="1F1C9EFA">
        <w:rPr>
          <w:rFonts w:eastAsia="Times New Roman"/>
        </w:rPr>
        <w:t>Impaired performance</w:t>
      </w:r>
      <w:bookmarkEnd w:id="16"/>
    </w:p>
    <w:p w:rsidRPr="00F579C0" w:rsidR="00E83AA9" w:rsidP="00212A81" w:rsidRDefault="00974D53" w14:paraId="720F9537" w14:textId="77777777">
      <w:r>
        <w:t>6.6</w:t>
      </w:r>
      <w:r w:rsidR="00D33BB9">
        <w:t>.1</w:t>
      </w:r>
      <w:r w:rsidR="00D33BB9">
        <w:tab/>
      </w:r>
      <w:r w:rsidRPr="00F579C0" w:rsidR="00E83AA9">
        <w:t>Where a student’s performance has been impacted by extenuating circumstances during the academic year, they may submit an application to the Mitigation Committee.</w:t>
      </w:r>
    </w:p>
    <w:p w:rsidRPr="00F579C0" w:rsidR="00E83AA9" w:rsidP="00212A81" w:rsidRDefault="00974D53" w14:paraId="5ADC5CC9" w14:textId="77777777">
      <w:r>
        <w:t>6.6</w:t>
      </w:r>
      <w:r w:rsidR="00212A81">
        <w:t>.2</w:t>
      </w:r>
      <w:r w:rsidR="00212A81">
        <w:tab/>
      </w:r>
      <w:r w:rsidRPr="00F579C0" w:rsidR="00E83AA9">
        <w:t>If the request is accepted, the Mitigation Committee will recommend appropriate action/s to the Board of Examiners. These are laid out in Appendix 1 to the Annex.</w:t>
      </w:r>
    </w:p>
    <w:p w:rsidRPr="00F579C0" w:rsidR="00E83AA9" w:rsidP="00626619" w:rsidRDefault="00626619" w14:paraId="6C1111E0" w14:textId="581AE28E">
      <w:pPr>
        <w:pStyle w:val="Heading2"/>
        <w:numPr>
          <w:ilvl w:val="1"/>
          <w:numId w:val="44"/>
        </w:numPr>
        <w:rPr>
          <w:rFonts w:eastAsia="Times New Roman"/>
        </w:rPr>
      </w:pPr>
      <w:r>
        <w:rPr>
          <w:rFonts w:eastAsia="Times New Roman"/>
        </w:rPr>
        <w:t xml:space="preserve">       </w:t>
      </w:r>
      <w:bookmarkStart w:name="_Toc114557662" w:id="17"/>
      <w:r w:rsidRPr="1F1C9EFA" w:rsidR="00E83AA9">
        <w:rPr>
          <w:rFonts w:eastAsia="Times New Roman"/>
        </w:rPr>
        <w:t>External Commitments</w:t>
      </w:r>
      <w:bookmarkEnd w:id="17"/>
    </w:p>
    <w:p w:rsidRPr="00F579C0" w:rsidR="00E83AA9" w:rsidP="00212A81" w:rsidRDefault="00974D53" w14:paraId="65E7C1CC" w14:textId="77777777">
      <w:r>
        <w:t>6.8</w:t>
      </w:r>
      <w:r w:rsidR="00212A81">
        <w:t>.1</w:t>
      </w:r>
      <w:r w:rsidR="00212A81">
        <w:tab/>
      </w:r>
      <w:r w:rsidRPr="00F579C0" w:rsidR="00E83AA9">
        <w:t>The University accepts that a student may, exceptionally, have a legitimate reason beyond their control for missing a coursework deadline or a scheduled assessment (including formal examinations) which would not normally fall under the scope of the mitigation process. For example, participation in a high level sporting event, a medical appointment that cannot easily be rearranged, a job or placement interview, or the refusal of an employer to release a part-time student from work commitments at the relevant time (</w:t>
      </w:r>
      <w:r w:rsidRPr="00F579C0" w:rsidR="00E83AA9">
        <w:rPr>
          <w:iCs/>
        </w:rPr>
        <w:t>the</w:t>
      </w:r>
      <w:r w:rsidRPr="00F579C0" w:rsidR="00E83AA9">
        <w:t xml:space="preserve"> </w:t>
      </w:r>
      <w:r w:rsidRPr="00F579C0" w:rsidR="00E83AA9">
        <w:rPr>
          <w:iCs/>
        </w:rPr>
        <w:t>list is not exhaustive</w:t>
      </w:r>
      <w:r w:rsidRPr="00F579C0" w:rsidR="00E83AA9">
        <w:t xml:space="preserve">). </w:t>
      </w:r>
    </w:p>
    <w:p w:rsidRPr="00F579C0" w:rsidR="00E83AA9" w:rsidP="00212A81" w:rsidRDefault="00974D53" w14:paraId="0702A008" w14:textId="77777777">
      <w:r>
        <w:t>6.8</w:t>
      </w:r>
      <w:r w:rsidR="00212A81">
        <w:t>.2</w:t>
      </w:r>
      <w:r w:rsidR="00212A81">
        <w:tab/>
      </w:r>
      <w:r w:rsidRPr="00F579C0" w:rsidR="00E83AA9">
        <w:t>As these types of external commitments should be known to the student in advance, they may request either that an extension be granted or that the assessment be rescheduled. Documentary evidence of the external commitment must be provided. Chair’s Action will be taken by the Chair of the Mitigation Committee so that students are informed of the outcome as soon as possible.</w:t>
      </w:r>
    </w:p>
    <w:p w:rsidRPr="00F579C0" w:rsidR="00E83AA9" w:rsidP="00212A81" w:rsidRDefault="00974D53" w14:paraId="0AC1FC1F" w14:textId="77777777">
      <w:r>
        <w:t>6.8</w:t>
      </w:r>
      <w:r w:rsidR="00212A81">
        <w:t>.3</w:t>
      </w:r>
      <w:r w:rsidR="00212A81">
        <w:tab/>
      </w:r>
      <w:r w:rsidRPr="00F579C0" w:rsidR="00E83AA9">
        <w:t>If a request to miss a coursework deadline or a scheduled assessment due to external commitments is accepted, the appropriate actions include:</w:t>
      </w:r>
    </w:p>
    <w:p w:rsidRPr="00212A81" w:rsidR="00E83AA9" w:rsidP="00212A81" w:rsidRDefault="00E83AA9" w14:paraId="4EF1E0FE" w14:textId="77777777">
      <w:pPr>
        <w:pStyle w:val="ListParagraph"/>
        <w:numPr>
          <w:ilvl w:val="0"/>
          <w:numId w:val="41"/>
        </w:numPr>
        <w:spacing w:after="120" w:line="240" w:lineRule="auto"/>
        <w:ind w:left="1276" w:hanging="425"/>
        <w:contextualSpacing w:val="0"/>
        <w:rPr>
          <w:rFonts w:ascii="Arial" w:hAnsi="Arial" w:cs="Arial"/>
        </w:rPr>
      </w:pPr>
      <w:r w:rsidRPr="00212A81">
        <w:rPr>
          <w:rFonts w:ascii="Arial" w:hAnsi="Arial" w:cs="Arial"/>
        </w:rPr>
        <w:t>Allow an extension to the coursework deadline or reschedule the assessment without penalty.</w:t>
      </w:r>
    </w:p>
    <w:p w:rsidRPr="00212A81" w:rsidR="00E83AA9" w:rsidP="00212A81" w:rsidRDefault="00E83AA9" w14:paraId="30513ECD" w14:textId="77777777">
      <w:pPr>
        <w:pStyle w:val="ListParagraph"/>
        <w:numPr>
          <w:ilvl w:val="0"/>
          <w:numId w:val="41"/>
        </w:numPr>
        <w:spacing w:after="120" w:line="240" w:lineRule="auto"/>
        <w:ind w:left="1276" w:hanging="425"/>
        <w:contextualSpacing w:val="0"/>
        <w:rPr>
          <w:rFonts w:ascii="Arial" w:hAnsi="Arial" w:cs="Arial"/>
        </w:rPr>
      </w:pPr>
      <w:r w:rsidRPr="00212A81">
        <w:rPr>
          <w:rFonts w:ascii="Arial" w:hAnsi="Arial" w:cs="Arial"/>
        </w:rPr>
        <w:t>Where rescheduling would not be appropriate, consider disregarding the coursework or the scheduled assessment, provided that the relevant learning outcomes are tested elsewhere in the module in question.</w:t>
      </w:r>
    </w:p>
    <w:p w:rsidRPr="00212A81" w:rsidR="00E83AA9" w:rsidP="00212A81" w:rsidRDefault="00E83AA9" w14:paraId="37E2FFBC" w14:textId="77777777">
      <w:pPr>
        <w:pStyle w:val="ListParagraph"/>
        <w:numPr>
          <w:ilvl w:val="0"/>
          <w:numId w:val="41"/>
        </w:numPr>
        <w:spacing w:after="120" w:line="240" w:lineRule="auto"/>
        <w:ind w:left="1276" w:hanging="425"/>
        <w:contextualSpacing w:val="0"/>
        <w:rPr>
          <w:rFonts w:ascii="Arial" w:hAnsi="Arial" w:cs="Arial"/>
        </w:rPr>
      </w:pPr>
      <w:r w:rsidRPr="00212A81">
        <w:rPr>
          <w:rFonts w:ascii="Arial" w:hAnsi="Arial" w:cs="Arial"/>
        </w:rPr>
        <w:t xml:space="preserve">Where a formal examination would be missed, the student may re-sit the examination at the next available opportunity and as if for the first time (except where the re-sit attempt is as if for the second time due to a previous failed attempt). Students should note that this might delay their </w:t>
      </w:r>
      <w:r w:rsidRPr="00212A81">
        <w:rPr>
          <w:rFonts w:ascii="Arial" w:hAnsi="Arial" w:cs="Arial"/>
        </w:rPr>
        <w:t>progression to the next stage of their course or prevent them from graduating with their cohort.</w:t>
      </w:r>
    </w:p>
    <w:p w:rsidRPr="00F579C0" w:rsidR="00E83AA9" w:rsidP="00E83AA9" w:rsidRDefault="00E83AA9" w14:paraId="1A79B128" w14:textId="77777777">
      <w:pPr>
        <w:pStyle w:val="ListParagraph"/>
        <w:spacing w:after="120" w:line="240" w:lineRule="auto"/>
        <w:ind w:right="237"/>
        <w:contextualSpacing w:val="0"/>
        <w:rPr>
          <w:rFonts w:ascii="Arial" w:hAnsi="Arial" w:eastAsia="Times New Roman" w:cs="Arial"/>
          <w:szCs w:val="24"/>
          <w:lang w:eastAsia="en-GB"/>
        </w:rPr>
      </w:pPr>
    </w:p>
    <w:p w:rsidRPr="00F579C0" w:rsidR="00E83AA9" w:rsidP="00366FBB" w:rsidRDefault="00E83AA9" w14:paraId="498E078C" w14:textId="77777777">
      <w:pPr>
        <w:pStyle w:val="Heading1"/>
        <w:rPr>
          <w:rFonts w:eastAsia="Times New Roman"/>
        </w:rPr>
      </w:pPr>
      <w:bookmarkStart w:name="_Toc114557663" w:id="18"/>
      <w:r w:rsidRPr="00F579C0">
        <w:rPr>
          <w:rFonts w:eastAsia="Times New Roman"/>
        </w:rPr>
        <w:t>Inclusive Learning Plans</w:t>
      </w:r>
      <w:bookmarkEnd w:id="18"/>
      <w:r w:rsidRPr="00F579C0">
        <w:rPr>
          <w:rFonts w:eastAsia="Times New Roman"/>
        </w:rPr>
        <w:t xml:space="preserve"> </w:t>
      </w:r>
    </w:p>
    <w:p w:rsidR="00BA6832" w:rsidP="00974D53" w:rsidRDefault="00974D53" w14:paraId="68C472A7" w14:textId="77777777">
      <w:r>
        <w:t>7.1</w:t>
      </w:r>
      <w:r>
        <w:tab/>
      </w:r>
      <w:r w:rsidRPr="00F579C0" w:rsidR="00E83AA9">
        <w:t xml:space="preserve">Students with Inclusive Learning Plans (ILP) are expected to manage their studies in accordance with their ILP, to make use of the recommendations and provisions of their ILP, to act in partnership with the support services available and to contact them if their needs change. Similarly, Schools should help students with ILPs to manage their studies by proactively implementing the adjustments required, noting that many adjustments of this kind may in fact lead to improvements for </w:t>
      </w:r>
      <w:r w:rsidRPr="00BA6832" w:rsidR="00E83AA9">
        <w:rPr>
          <w:bCs/>
        </w:rPr>
        <w:t>all</w:t>
      </w:r>
      <w:r w:rsidRPr="00F579C0" w:rsidR="00E83AA9">
        <w:t xml:space="preserve"> students. An ILP should be recognised in itself as evidence of a condition or circumstance for which an adjustment is necessary. </w:t>
      </w:r>
    </w:p>
    <w:p w:rsidRPr="00BA6832" w:rsidR="00E83AA9" w:rsidP="00974D53" w:rsidRDefault="00974D53" w14:paraId="536F66FB" w14:textId="77777777">
      <w:r>
        <w:t>7.2</w:t>
      </w:r>
      <w:r>
        <w:tab/>
      </w:r>
      <w:r w:rsidRPr="00BA6832" w:rsidR="00E83AA9">
        <w:t xml:space="preserve">While ILPs are intended to ensure that students managing long-term conditions are assessed equitably with their peers and, therefore, should not need to submit an application for mitigation, the University recognises that such submissions may be required under the following circumstances: </w:t>
      </w:r>
    </w:p>
    <w:p w:rsidRPr="00F579C0" w:rsidR="00E83AA9" w:rsidP="00974D53" w:rsidRDefault="00974D53" w14:paraId="73CE7DC0" w14:textId="77777777">
      <w:r>
        <w:t>7.2.1</w:t>
      </w:r>
      <w:r>
        <w:tab/>
      </w:r>
      <w:r w:rsidR="00E83AA9">
        <w:t xml:space="preserve">They experience an acute episode or worsening of their condition which means that the reasonable adjustments specified in the ILP are no longer sufficient; and/or: </w:t>
      </w:r>
    </w:p>
    <w:p w:rsidR="1F1C9EFA" w:rsidP="1F1C9EFA" w:rsidRDefault="1F1C9EFA" w14:paraId="6D10C15B" w14:textId="380C9125">
      <w:r>
        <w:t>7.2.2</w:t>
      </w:r>
      <w:r>
        <w:tab/>
      </w:r>
      <w:r>
        <w:t>Where the reasonable adjustment specified in the ILP is for extension to be awarded, the procedure for such affected students should not require the submission of evidence related to the long-term condition in order for the extension to be granted.</w:t>
      </w:r>
      <w:r w:rsidRPr="1F1C9EFA">
        <w:rPr>
          <w:rStyle w:val="FootnoteReference"/>
        </w:rPr>
        <w:footnoteReference w:id="2"/>
      </w:r>
      <w:r>
        <w:t xml:space="preserve">  </w:t>
      </w:r>
    </w:p>
    <w:p w:rsidRPr="00F579C0" w:rsidR="00E83AA9" w:rsidP="00974D53" w:rsidRDefault="00974D53" w14:paraId="53BB3565" w14:textId="4EA273ED">
      <w:r>
        <w:t>7.2.3</w:t>
      </w:r>
      <w:r>
        <w:tab/>
      </w:r>
      <w:r w:rsidR="00E83AA9">
        <w:t>There was a shortcoming or failure in the support arrangements which means that the reasonable adjustments were not implemented in time or as specified in the ILP.</w:t>
      </w:r>
    </w:p>
    <w:p w:rsidRPr="00F579C0" w:rsidR="00E83AA9" w:rsidP="1F1C9EFA" w:rsidRDefault="00974D53" w14:paraId="697121E1" w14:textId="5D515F6F">
      <w:pPr>
        <w:ind w:left="0" w:firstLine="0"/>
      </w:pPr>
      <w:r>
        <w:t>7.3</w:t>
      </w:r>
      <w:r>
        <w:tab/>
      </w:r>
      <w:r w:rsidR="00E83AA9">
        <w:t xml:space="preserve">Where students holding an ILP with respect to a fluctuating condition wish to submit an application for mitigation with respect to an acute episode or worsening of their condition, </w:t>
      </w:r>
      <w:r w:rsidRPr="009F0656" w:rsidR="00E83AA9">
        <w:rPr>
          <w:b/>
          <w:bCs/>
        </w:rPr>
        <w:t>they are not required to submit fresh medical or other evidence related to the condition</w:t>
      </w:r>
      <w:r w:rsidR="00E83AA9">
        <w:t>. The ILP constitutes the already established evidence-base for such applications.</w:t>
      </w:r>
    </w:p>
    <w:p w:rsidRPr="00F579C0" w:rsidR="00E83AA9" w:rsidP="1F1C9EFA" w:rsidRDefault="00E83AA9" w14:paraId="4FFC4D44" w14:textId="08641C08">
      <w:pPr>
        <w:ind w:left="567" w:hanging="567"/>
      </w:pPr>
    </w:p>
    <w:p w:rsidRPr="00F579C0" w:rsidR="00E83AA9" w:rsidP="00974D53" w:rsidRDefault="00974D53" w14:paraId="1D2D00EC" w14:textId="77777777">
      <w:pPr>
        <w:ind w:left="567" w:hanging="567"/>
      </w:pPr>
      <w:r>
        <w:t>7.4</w:t>
      </w:r>
      <w:r>
        <w:tab/>
      </w:r>
      <w:r w:rsidR="00E83AA9">
        <w:t xml:space="preserve">While Schools should not require the resubmission of evidence already provided for an existing ILP, students may be required to submit evidence relating to conditions or extenuating circumstances that are not covered by that established arrangement. </w:t>
      </w:r>
    </w:p>
    <w:p w:rsidRPr="00F579C0" w:rsidR="00E83AA9" w:rsidP="00E83AA9" w:rsidRDefault="00E83AA9" w14:paraId="628921B1" w14:textId="77777777">
      <w:pPr>
        <w:pStyle w:val="ListParagraph"/>
        <w:spacing w:after="120" w:line="240" w:lineRule="auto"/>
        <w:ind w:right="237"/>
        <w:contextualSpacing w:val="0"/>
        <w:rPr>
          <w:rFonts w:ascii="Arial" w:hAnsi="Arial" w:eastAsia="Times New Roman" w:cs="Arial"/>
          <w:szCs w:val="24"/>
          <w:lang w:eastAsia="en-GB"/>
        </w:rPr>
      </w:pPr>
    </w:p>
    <w:p w:rsidRPr="00F579C0" w:rsidR="00E83AA9" w:rsidP="00BA6832" w:rsidRDefault="00E83AA9" w14:paraId="41DE79D6" w14:textId="77777777">
      <w:pPr>
        <w:pStyle w:val="Heading1"/>
        <w:rPr>
          <w:rFonts w:eastAsia="Times New Roman"/>
        </w:rPr>
      </w:pPr>
      <w:bookmarkStart w:name="_Toc114557664" w:id="19"/>
      <w:r w:rsidRPr="00F579C0">
        <w:rPr>
          <w:rFonts w:eastAsia="Times New Roman"/>
        </w:rPr>
        <w:t>Falsified Evidence</w:t>
      </w:r>
      <w:bookmarkEnd w:id="19"/>
      <w:r w:rsidRPr="00F579C0">
        <w:rPr>
          <w:rFonts w:eastAsia="Times New Roman"/>
        </w:rPr>
        <w:t xml:space="preserve"> </w:t>
      </w:r>
    </w:p>
    <w:p w:rsidRPr="00F579C0" w:rsidR="00E83AA9" w:rsidP="00BA6832" w:rsidRDefault="00E83AA9" w14:paraId="0EF4EE39" w14:textId="77777777">
      <w:pPr>
        <w:pStyle w:val="ListParagraph"/>
        <w:numPr>
          <w:ilvl w:val="0"/>
          <w:numId w:val="25"/>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Where reasonable evidence exists to support the suspicion that documentary evidence submitted in support of extenuating circumstances has been falsified, the Chair of the School Mitigation Committee will pause the application and refer the case for falsified evidence for consideration under the </w:t>
      </w:r>
      <w:r w:rsidRPr="00F579C0">
        <w:rPr>
          <w:rFonts w:ascii="Arial" w:hAnsi="Arial" w:eastAsia="Times New Roman" w:cs="Arial"/>
          <w:i/>
          <w:iCs/>
          <w:szCs w:val="24"/>
          <w:lang w:eastAsia="en-GB"/>
        </w:rPr>
        <w:t xml:space="preserve">Regulations on Student Discipline in Relation to Non-Academic Matters. </w:t>
      </w:r>
    </w:p>
    <w:p w:rsidRPr="00F579C0" w:rsidR="00E83AA9" w:rsidP="00CA3BD0" w:rsidRDefault="00E83AA9" w14:paraId="6563AE43" w14:textId="77777777">
      <w:pPr>
        <w:pStyle w:val="ListParagraph"/>
        <w:numPr>
          <w:ilvl w:val="0"/>
          <w:numId w:val="25"/>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Should the allegation of the offence of submitting falsified evidence be upheld the School will dismiss the application for mitigation.</w:t>
      </w:r>
    </w:p>
    <w:p w:rsidRPr="00F579C0" w:rsidR="00E83AA9" w:rsidP="00CA3BD0" w:rsidRDefault="00E83AA9" w14:paraId="3C212AF7" w14:textId="77777777">
      <w:pPr>
        <w:pStyle w:val="ListParagraph"/>
        <w:numPr>
          <w:ilvl w:val="0"/>
          <w:numId w:val="25"/>
        </w:numPr>
        <w:shd w:val="clear" w:color="auto" w:fill="FFFFFF"/>
        <w:spacing w:after="120" w:line="240" w:lineRule="auto"/>
        <w:ind w:left="567" w:right="237" w:hanging="567"/>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Should the allegation of the offence of submitting falsified evidence not be upheld the School may restart the application for mitigation. </w:t>
      </w:r>
    </w:p>
    <w:p w:rsidRPr="00F579C0" w:rsidR="00E83AA9" w:rsidP="00E83AA9" w:rsidRDefault="00E83AA9" w14:paraId="5F7A0B6A" w14:textId="77777777">
      <w:pPr>
        <w:shd w:val="clear" w:color="auto" w:fill="FFFFFF"/>
        <w:ind w:right="237"/>
        <w:jc w:val="both"/>
        <w:rPr>
          <w:rFonts w:eastAsia="Times New Roman"/>
          <w:i/>
          <w:iCs/>
          <w:szCs w:val="24"/>
        </w:rPr>
      </w:pPr>
    </w:p>
    <w:p w:rsidRPr="00F579C0" w:rsidR="00E83AA9" w:rsidP="00CA3BD0" w:rsidRDefault="00E83AA9" w14:paraId="6814B87F" w14:textId="77777777">
      <w:pPr>
        <w:pStyle w:val="Heading1"/>
        <w:rPr>
          <w:rFonts w:eastAsia="Times New Roman"/>
        </w:rPr>
      </w:pPr>
      <w:bookmarkStart w:name="_Toc114557665" w:id="20"/>
      <w:r w:rsidRPr="00F579C0">
        <w:rPr>
          <w:rFonts w:eastAsia="Times New Roman"/>
        </w:rPr>
        <w:t>Academic Appeals</w:t>
      </w:r>
      <w:bookmarkEnd w:id="20"/>
      <w:r w:rsidRPr="00F579C0">
        <w:rPr>
          <w:rFonts w:eastAsia="Times New Roman"/>
        </w:rPr>
        <w:t xml:space="preserve"> </w:t>
      </w:r>
    </w:p>
    <w:p w:rsidRPr="00F579C0" w:rsidR="00E83AA9" w:rsidP="004B03A8" w:rsidRDefault="00E83AA9" w14:paraId="7DF6DBEA" w14:textId="77777777">
      <w:pPr>
        <w:shd w:val="clear" w:color="auto" w:fill="FFFFFF"/>
        <w:ind w:left="567" w:right="237" w:hanging="567"/>
        <w:rPr>
          <w:rFonts w:eastAsia="Times New Roman"/>
          <w:szCs w:val="24"/>
        </w:rPr>
      </w:pPr>
      <w:r w:rsidRPr="00F579C0">
        <w:rPr>
          <w:rFonts w:eastAsia="Times New Roman"/>
          <w:szCs w:val="24"/>
        </w:rPr>
        <w:t>9.1</w:t>
      </w:r>
      <w:r w:rsidRPr="00F579C0">
        <w:rPr>
          <w:rFonts w:eastAsia="Times New Roman"/>
          <w:szCs w:val="24"/>
        </w:rPr>
        <w:tab/>
      </w:r>
      <w:r w:rsidRPr="00F579C0">
        <w:rPr>
          <w:rFonts w:eastAsia="Times New Roman"/>
          <w:szCs w:val="24"/>
        </w:rPr>
        <w:t>Students wishing to appeal against the recommendations of Boards of Examiners in response to applications for mitigation may do so on the following grounds:</w:t>
      </w:r>
    </w:p>
    <w:p w:rsidRPr="00F579C0" w:rsidR="00E83AA9" w:rsidP="004B03A8" w:rsidRDefault="00E83AA9" w14:paraId="025FA2E9" w14:textId="77777777">
      <w:pPr>
        <w:pStyle w:val="ListParagraph"/>
        <w:numPr>
          <w:ilvl w:val="2"/>
          <w:numId w:val="6"/>
        </w:numPr>
        <w:shd w:val="clear" w:color="auto" w:fill="FFFFFF"/>
        <w:spacing w:after="120" w:line="240" w:lineRule="auto"/>
        <w:ind w:left="851" w:right="237" w:hanging="851"/>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Procedural error: Where there are reasonable grounds, supported by objective evidence, to believe that there has been an administrative, procedural or clerical error of such a nature as to have affected the recommendation of the Board; and/or </w:t>
      </w:r>
      <w:bookmarkStart w:name="_Hlk49863595" w:id="21"/>
    </w:p>
    <w:p w:rsidRPr="00F579C0" w:rsidR="00E83AA9" w:rsidP="004B03A8" w:rsidRDefault="00E83AA9" w14:paraId="29F984B6" w14:textId="77777777">
      <w:pPr>
        <w:pStyle w:val="ListParagraph"/>
        <w:numPr>
          <w:ilvl w:val="2"/>
          <w:numId w:val="6"/>
        </w:numPr>
        <w:shd w:val="clear" w:color="auto" w:fill="FFFFFF"/>
        <w:spacing w:after="120" w:line="240" w:lineRule="auto"/>
        <w:ind w:left="851" w:right="237" w:hanging="851"/>
        <w:contextualSpacing w:val="0"/>
        <w:rPr>
          <w:rFonts w:ascii="Arial" w:hAnsi="Arial" w:eastAsia="Times New Roman" w:cs="Arial"/>
          <w:szCs w:val="24"/>
          <w:lang w:eastAsia="en-GB"/>
        </w:rPr>
      </w:pPr>
      <w:r w:rsidRPr="00F579C0">
        <w:rPr>
          <w:rFonts w:ascii="Arial" w:hAnsi="Arial" w:eastAsia="Times New Roman" w:cs="Arial"/>
          <w:szCs w:val="24"/>
          <w:lang w:eastAsia="en-GB"/>
        </w:rPr>
        <w:t>Extenuating Circumstances: Where there is evidence of illness or other extenuating circumstances that have impacted negatively on academic performance and which the student was, for good reason, unable to submit by the published deadline</w:t>
      </w:r>
      <w:bookmarkEnd w:id="21"/>
      <w:r w:rsidRPr="00F579C0">
        <w:rPr>
          <w:rFonts w:ascii="Arial" w:hAnsi="Arial" w:eastAsia="Times New Roman" w:cs="Arial"/>
          <w:szCs w:val="24"/>
          <w:lang w:eastAsia="en-GB"/>
        </w:rPr>
        <w:t>; and/or</w:t>
      </w:r>
    </w:p>
    <w:p w:rsidRPr="00F579C0" w:rsidR="00E83AA9" w:rsidP="004B03A8" w:rsidRDefault="00E83AA9" w14:paraId="6464F935" w14:textId="77777777">
      <w:pPr>
        <w:pStyle w:val="ListParagraph"/>
        <w:numPr>
          <w:ilvl w:val="2"/>
          <w:numId w:val="6"/>
        </w:numPr>
        <w:shd w:val="clear" w:color="auto" w:fill="FFFFFF"/>
        <w:spacing w:after="120" w:line="240" w:lineRule="auto"/>
        <w:ind w:left="851" w:right="237" w:hanging="851"/>
        <w:contextualSpacing w:val="0"/>
        <w:rPr>
          <w:rFonts w:ascii="Arial" w:hAnsi="Arial" w:eastAsia="Times New Roman" w:cs="Arial"/>
          <w:szCs w:val="24"/>
          <w:lang w:eastAsia="en-GB"/>
        </w:rPr>
      </w:pPr>
      <w:r w:rsidRPr="00F579C0">
        <w:rPr>
          <w:rFonts w:ascii="Arial" w:hAnsi="Arial" w:eastAsia="Times New Roman" w:cs="Arial"/>
          <w:szCs w:val="24"/>
          <w:lang w:eastAsia="en-GB"/>
        </w:rPr>
        <w:t xml:space="preserve">Prejudice or Bias: </w:t>
      </w:r>
      <w:bookmarkStart w:name="_Hlk49864515" w:id="22"/>
      <w:r w:rsidRPr="00F579C0">
        <w:rPr>
          <w:rFonts w:ascii="Arial" w:hAnsi="Arial" w:eastAsia="Times New Roman" w:cs="Arial"/>
          <w:szCs w:val="24"/>
          <w:lang w:eastAsia="en-GB"/>
        </w:rPr>
        <w:t>Where there is evidence of prejudice or bias or the reasonable perception of prejudice or bias against the student</w:t>
      </w:r>
      <w:bookmarkEnd w:id="22"/>
      <w:r w:rsidRPr="00F579C0">
        <w:rPr>
          <w:rFonts w:ascii="Arial" w:hAnsi="Arial" w:eastAsia="Times New Roman" w:cs="Arial"/>
          <w:szCs w:val="24"/>
          <w:lang w:eastAsia="en-GB"/>
        </w:rPr>
        <w:t xml:space="preserve">. </w:t>
      </w:r>
    </w:p>
    <w:p w:rsidRPr="00F579C0" w:rsidR="00E83AA9" w:rsidP="74528B5A" w:rsidRDefault="00E83AA9" w14:paraId="10B954DA" w14:textId="57269FD9">
      <w:pPr>
        <w:shd w:val="clear" w:color="auto" w:fill="FFFFFF" w:themeFill="background1"/>
        <w:ind w:left="567" w:right="237" w:hanging="567"/>
        <w:rPr>
          <w:rFonts w:eastAsia="Times New Roman"/>
        </w:rPr>
      </w:pPr>
      <w:r w:rsidRPr="74528B5A" w:rsidR="00E83AA9">
        <w:rPr>
          <w:rFonts w:eastAsia="Times New Roman"/>
        </w:rPr>
        <w:t>9.2</w:t>
      </w:r>
      <w:r>
        <w:tab/>
      </w:r>
      <w:r w:rsidRPr="74528B5A" w:rsidR="00E83AA9">
        <w:rPr>
          <w:rFonts w:eastAsia="Times New Roman"/>
        </w:rPr>
        <w:t xml:space="preserve">Appeals on these grounds must be </w:t>
      </w:r>
      <w:r w:rsidRPr="74528B5A" w:rsidR="00E83AA9">
        <w:rPr>
          <w:rFonts w:eastAsia="Times New Roman"/>
        </w:rPr>
        <w:t>submitted</w:t>
      </w:r>
      <w:r w:rsidRPr="74528B5A" w:rsidR="00E83AA9">
        <w:rPr>
          <w:rFonts w:eastAsia="Times New Roman"/>
        </w:rPr>
        <w:t xml:space="preserve"> in line with the procedures set out in </w:t>
      </w:r>
      <w:r w:rsidRPr="74528B5A" w:rsidR="53C6E636">
        <w:rPr>
          <w:rFonts w:eastAsia="Times New Roman"/>
        </w:rPr>
        <w:t xml:space="preserve">the </w:t>
      </w:r>
      <w:hyperlink r:id="R361ed917256b4df7">
        <w:r w:rsidRPr="74528B5A" w:rsidR="53C6E636">
          <w:rPr>
            <w:rStyle w:val="Hyperlink"/>
            <w:rFonts w:eastAsia="Times New Roman"/>
          </w:rPr>
          <w:t>Academi</w:t>
        </w:r>
        <w:r w:rsidRPr="74528B5A" w:rsidR="53C6E636">
          <w:rPr>
            <w:rStyle w:val="Hyperlink"/>
            <w:rFonts w:eastAsia="Times New Roman"/>
          </w:rPr>
          <w:t>c Appeals Policy</w:t>
        </w:r>
      </w:hyperlink>
      <w:r w:rsidRPr="74528B5A" w:rsidR="53C6E636">
        <w:rPr>
          <w:rFonts w:eastAsia="Times New Roman"/>
        </w:rPr>
        <w:t xml:space="preserve">. </w:t>
      </w:r>
    </w:p>
    <w:p w:rsidRPr="001379B8" w:rsidR="00E83AA9" w:rsidP="004B03A8" w:rsidRDefault="00E83AA9" w14:paraId="30F8E692" w14:textId="77777777">
      <w:pPr>
        <w:ind w:left="0" w:firstLine="0"/>
      </w:pPr>
    </w:p>
    <w:sectPr w:rsidRPr="001379B8" w:rsidR="00E83AA9" w:rsidSect="002750C2">
      <w:headerReference w:type="even" r:id="rId18"/>
      <w:headerReference w:type="default" r:id="rId19"/>
      <w:footerReference w:type="even" r:id="rId20"/>
      <w:footerReference w:type="default" r:id="rId21"/>
      <w:headerReference w:type="first" r:id="rId22"/>
      <w:footerReference w:type="first" r:id="rId2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E76" w:rsidP="002750C2" w:rsidRDefault="00AC1E76" w14:paraId="3F02424F" w14:textId="77777777">
      <w:pPr>
        <w:spacing w:after="0"/>
      </w:pPr>
      <w:r>
        <w:separator/>
      </w:r>
    </w:p>
  </w:endnote>
  <w:endnote w:type="continuationSeparator" w:id="0">
    <w:p w:rsidR="00AC1E76" w:rsidP="002750C2" w:rsidRDefault="00AC1E76" w14:paraId="7D51F1F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5B4" w:rsidRDefault="007F65B4" w14:paraId="558662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938" w:rsidP="002750C2" w:rsidRDefault="002C7938" w14:paraId="4D7CF997" w14:textId="77777777">
    <w:pPr>
      <w:pStyle w:val="Header"/>
      <w:rPr>
        <w:noProof/>
        <w:sz w:val="20"/>
      </w:rPr>
    </w:pPr>
    <w:r>
      <w:rPr>
        <w:noProof/>
        <w:sz w:val="20"/>
      </w:rPr>
      <w:t>----------------------------------------------------------------------------------------------------------------------------------</w:t>
    </w:r>
  </w:p>
  <w:p w:rsidR="002C7938" w:rsidP="002F7E36" w:rsidRDefault="002C7938" w14:paraId="4E800007" w14:textId="1432E78E">
    <w:pPr>
      <w:pStyle w:val="Header"/>
      <w:rPr>
        <w:rStyle w:val="eop"/>
        <w:sz w:val="20"/>
        <w:szCs w:val="20"/>
      </w:rPr>
    </w:pPr>
    <w:r>
      <w:rPr>
        <w:rStyle w:val="normaltextrun"/>
        <w:sz w:val="20"/>
        <w:szCs w:val="20"/>
      </w:rPr>
      <w:t>Author: QACO</w:t>
    </w:r>
    <w:r>
      <w:rPr>
        <w:rStyle w:val="eop"/>
        <w:sz w:val="20"/>
        <w:szCs w:val="20"/>
      </w:rPr>
      <w:t> </w:t>
    </w:r>
  </w:p>
  <w:p w:rsidR="00A15937" w:rsidP="002F7E36" w:rsidRDefault="00A15937" w14:paraId="7FE9DF17" w14:textId="447E17BD">
    <w:pPr>
      <w:pStyle w:val="Header"/>
      <w:rPr>
        <w:rFonts w:ascii="Segoe UI" w:hAnsi="Segoe UI" w:cs="Segoe UI"/>
        <w:sz w:val="18"/>
        <w:szCs w:val="18"/>
      </w:rPr>
    </w:pPr>
    <w:r>
      <w:rPr>
        <w:rStyle w:val="eop"/>
        <w:sz w:val="20"/>
        <w:szCs w:val="20"/>
      </w:rPr>
      <w:t>Applies to: 2022/23</w:t>
    </w:r>
  </w:p>
  <w:p w:rsidR="002C7938" w:rsidP="002F7E36" w:rsidRDefault="002C7938" w14:paraId="1F8DF525" w14:textId="57D1BB98">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 xml:space="preserve">Approved </w:t>
    </w:r>
    <w:r w:rsidR="000F4F7F">
      <w:rPr>
        <w:rStyle w:val="normaltextrun"/>
        <w:rFonts w:ascii="Arial" w:hAnsi="Arial" w:cs="Arial"/>
        <w:sz w:val="20"/>
        <w:szCs w:val="20"/>
      </w:rPr>
      <w:t>by</w:t>
    </w:r>
    <w:r w:rsidR="00E17CCE">
      <w:rPr>
        <w:rStyle w:val="normaltextrun"/>
        <w:rFonts w:ascii="Arial" w:hAnsi="Arial" w:cs="Arial"/>
        <w:sz w:val="20"/>
        <w:szCs w:val="20"/>
      </w:rPr>
      <w:t xml:space="preserve"> Senate</w:t>
    </w:r>
    <w:r>
      <w:rPr>
        <w:rStyle w:val="normaltextrun"/>
        <w:rFonts w:ascii="Arial" w:hAnsi="Arial" w:cs="Arial"/>
        <w:sz w:val="20"/>
        <w:szCs w:val="20"/>
      </w:rPr>
      <w:t>: September 202</w:t>
    </w:r>
    <w:r w:rsidR="000F4F7F">
      <w:rPr>
        <w:rStyle w:val="normaltextrun"/>
        <w:rFonts w:ascii="Arial" w:hAnsi="Arial" w:cs="Arial"/>
        <w:sz w:val="20"/>
        <w:szCs w:val="20"/>
      </w:rPr>
      <w:t>0</w:t>
    </w:r>
  </w:p>
  <w:p w:rsidRPr="002E0DA9" w:rsidR="002C7938" w:rsidP="74528B5A" w:rsidRDefault="002C7938" w14:paraId="240255CC" w14:textId="3E79892B">
    <w:pPr>
      <w:pStyle w:val="paragraph"/>
      <w:spacing w:before="0" w:beforeAutospacing="off" w:after="0" w:afterAutospacing="off"/>
      <w:textAlignment w:val="baseline"/>
      <w:rPr>
        <w:rStyle w:val="normaltextrun"/>
        <w:rFonts w:ascii="Arial" w:hAnsi="Arial" w:cs="Arial"/>
        <w:sz w:val="20"/>
        <w:szCs w:val="20"/>
      </w:rPr>
    </w:pPr>
    <w:r w:rsidRPr="74528B5A" w:rsidR="74528B5A">
      <w:rPr>
        <w:rStyle w:val="normaltextrun"/>
        <w:rFonts w:ascii="Arial" w:hAnsi="Arial" w:cs="Arial"/>
        <w:sz w:val="20"/>
        <w:szCs w:val="20"/>
      </w:rPr>
      <w:t xml:space="preserve">Last Revised: </w:t>
    </w:r>
    <w:r w:rsidRPr="74528B5A" w:rsidR="74528B5A">
      <w:rPr>
        <w:rStyle w:val="normaltextrun"/>
        <w:rFonts w:ascii="Arial" w:hAnsi="Arial" w:cs="Arial"/>
        <w:sz w:val="20"/>
        <w:szCs w:val="20"/>
      </w:rPr>
      <w:t>November</w:t>
    </w:r>
    <w:r w:rsidRPr="74528B5A" w:rsidR="74528B5A">
      <w:rPr>
        <w:rStyle w:val="normaltextrun"/>
        <w:rFonts w:ascii="Arial" w:hAnsi="Arial" w:cs="Arial"/>
        <w:sz w:val="20"/>
        <w:szCs w:val="20"/>
      </w:rPr>
      <w:t xml:space="preserve"> 202</w:t>
    </w:r>
    <w:r w:rsidRPr="74528B5A" w:rsidR="74528B5A">
      <w:rPr>
        <w:rStyle w:val="normaltextrun"/>
        <w:rFonts w:ascii="Arial" w:hAnsi="Arial" w:cs="Arial"/>
        <w:sz w:val="20"/>
        <w:szCs w:val="20"/>
      </w:rPr>
      <w:t>3</w:t>
    </w:r>
  </w:p>
  <w:p w:rsidR="002C7938" w:rsidP="74528B5A" w:rsidRDefault="002C7938" w14:paraId="08A24649" w14:textId="26B6678D">
    <w:pPr>
      <w:pStyle w:val="paragraph"/>
      <w:spacing w:before="0" w:beforeAutospacing="off" w:after="0" w:afterAutospacing="off"/>
      <w:textAlignment w:val="baseline"/>
      <w:rPr>
        <w:rStyle w:val="normaltextrun"/>
        <w:rFonts w:ascii="Arial" w:hAnsi="Arial" w:cs="Arial"/>
        <w:sz w:val="20"/>
        <w:szCs w:val="20"/>
        <w:lang w:val="en-US"/>
      </w:rPr>
    </w:pPr>
    <w:r w:rsidRPr="74528B5A" w:rsidR="74528B5A">
      <w:rPr>
        <w:rStyle w:val="normaltextrun"/>
        <w:rFonts w:ascii="Arial" w:hAnsi="Arial" w:cs="Arial"/>
        <w:sz w:val="20"/>
        <w:szCs w:val="20"/>
      </w:rPr>
      <w:t>Next review: September 202</w:t>
    </w:r>
    <w:r w:rsidRPr="74528B5A" w:rsidR="74528B5A">
      <w:rPr>
        <w:rStyle w:val="normaltextrun"/>
        <w:rFonts w:ascii="Arial" w:hAnsi="Arial" w:cs="Arial"/>
        <w:sz w:val="20"/>
        <w:szCs w:val="20"/>
      </w:rPr>
      <w:t>4</w:t>
    </w:r>
  </w:p>
  <w:p w:rsidR="002C7938" w:rsidP="003A0781" w:rsidRDefault="002C7938" w14:paraId="546F0375"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74D53">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74D53">
      <w:rPr>
        <w:rStyle w:val="PageNumber"/>
        <w:noProof/>
        <w:sz w:val="20"/>
      </w:rPr>
      <w:t>14</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5B4" w:rsidRDefault="007F65B4" w14:paraId="0602B9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E76" w:rsidP="002750C2" w:rsidRDefault="00AC1E76" w14:paraId="4E52605F" w14:textId="77777777">
      <w:pPr>
        <w:spacing w:after="0"/>
      </w:pPr>
      <w:r>
        <w:separator/>
      </w:r>
    </w:p>
  </w:footnote>
  <w:footnote w:type="continuationSeparator" w:id="0">
    <w:p w:rsidR="00AC1E76" w:rsidP="002750C2" w:rsidRDefault="00AC1E76" w14:paraId="6BCDA951" w14:textId="77777777">
      <w:pPr>
        <w:spacing w:after="0"/>
      </w:pPr>
      <w:r>
        <w:continuationSeparator/>
      </w:r>
    </w:p>
  </w:footnote>
  <w:footnote w:id="1">
    <w:p w:rsidR="007E7970" w:rsidRDefault="007E7970" w14:paraId="5EAE0059" w14:textId="58E2858E">
      <w:pPr>
        <w:pStyle w:val="FootnoteText"/>
      </w:pPr>
      <w:r>
        <w:rPr>
          <w:rStyle w:val="FootnoteReference"/>
        </w:rPr>
        <w:footnoteRef/>
      </w:r>
      <w:r>
        <w:t xml:space="preserve"> </w:t>
      </w:r>
      <w:r w:rsidRPr="00881BD0">
        <w:rPr>
          <w:sz w:val="16"/>
          <w:szCs w:val="16"/>
        </w:rPr>
        <w:t>Obviously, this does not apply to death certificates.</w:t>
      </w:r>
      <w:r>
        <w:t xml:space="preserve"> </w:t>
      </w:r>
    </w:p>
  </w:footnote>
  <w:footnote w:id="2">
    <w:p w:rsidR="1F1C9EFA" w:rsidP="00F06288" w:rsidRDefault="1F1C9EFA" w14:paraId="284E8ED4" w14:textId="605EE93A">
      <w:pPr>
        <w:pStyle w:val="FootnoteText"/>
      </w:pPr>
      <w:r w:rsidRPr="000F4F7F">
        <w:rPr>
          <w:rStyle w:val="FootnoteReference"/>
          <w:rFonts w:ascii="Arial" w:hAnsi="Arial" w:cs="Arial"/>
        </w:rPr>
        <w:footnoteRef/>
      </w:r>
      <w:r w:rsidRPr="000F4F7F">
        <w:rPr>
          <w:rFonts w:ascii="Arial" w:hAnsi="Arial" w:cs="Arial"/>
        </w:rPr>
        <w:t xml:space="preserve"> Where </w:t>
      </w:r>
      <w:r w:rsidRPr="000F4F7F">
        <w:rPr>
          <w:rFonts w:ascii="Arial" w:hAnsi="Arial" w:eastAsia="Segoe UI" w:cs="Arial"/>
          <w:color w:val="333333"/>
          <w:sz w:val="18"/>
          <w:szCs w:val="18"/>
        </w:rPr>
        <w:t>Divisions are using a same form for all extension requests, they must give an option for students to tick 'I am applying for an extension as a reasonable adjustment that is included in my ILP' so t</w:t>
      </w:r>
      <w:r w:rsidR="000F4F7F">
        <w:rPr>
          <w:rFonts w:ascii="Arial" w:hAnsi="Arial" w:eastAsia="Segoe UI" w:cs="Arial"/>
          <w:color w:val="333333"/>
          <w:sz w:val="18"/>
          <w:szCs w:val="18"/>
        </w:rPr>
        <w:t>h</w:t>
      </w:r>
      <w:r w:rsidRPr="000F4F7F">
        <w:rPr>
          <w:rFonts w:ascii="Arial" w:hAnsi="Arial" w:eastAsia="Segoe UI" w:cs="Arial"/>
          <w:color w:val="333333"/>
          <w:sz w:val="18"/>
          <w:szCs w:val="18"/>
        </w:rPr>
        <w:t>at such cases can be easily identified and processed.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5B4" w:rsidRDefault="007F65B4" w14:paraId="3C546B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7938" w:rsidP="002750C2" w:rsidRDefault="002C7938" w14:paraId="6939043C" w14:textId="77777777">
    <w:pPr>
      <w:pStyle w:val="Header"/>
      <w:jc w:val="right"/>
    </w:pPr>
    <w:r w:rsidRPr="00714B2F">
      <w:rPr>
        <w:b/>
        <w:bCs/>
        <w:noProof/>
        <w:szCs w:val="24"/>
      </w:rPr>
      <w:drawing>
        <wp:inline distT="0" distB="0" distL="0" distR="0" wp14:anchorId="74151942" wp14:editId="6876EE76">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rsidR="002C7938" w:rsidP="007B615B" w:rsidRDefault="002C7938" w14:paraId="4B645381" w14:textId="77777777">
    <w:pPr>
      <w:pStyle w:val="Header"/>
      <w:spacing w:after="120"/>
      <w:ind w:right="284"/>
      <w:jc w:val="center"/>
      <w:rPr>
        <w:b/>
      </w:rPr>
    </w:pPr>
    <w:r w:rsidRPr="002750C2">
      <w:rPr>
        <w:b/>
      </w:rPr>
      <w:t>C</w:t>
    </w:r>
    <w:r>
      <w:rPr>
        <w:b/>
      </w:rPr>
      <w:t xml:space="preserve">redit Framework for Taught </w:t>
    </w:r>
    <w:r w:rsidRPr="002750C2">
      <w:rPr>
        <w:b/>
      </w:rPr>
      <w:t>Courses of Study</w:t>
    </w:r>
  </w:p>
  <w:p w:rsidR="002C7938" w:rsidP="007B615B" w:rsidRDefault="002C7938" w14:paraId="62E4504E" w14:textId="77777777">
    <w:pPr>
      <w:pStyle w:val="Header"/>
      <w:spacing w:after="120"/>
      <w:ind w:right="284"/>
      <w:jc w:val="center"/>
    </w:pPr>
    <w:r>
      <w:rPr>
        <w:b/>
      </w:rPr>
      <w:t xml:space="preserve">Information for Students, Teachers and Examiners </w:t>
    </w:r>
  </w:p>
  <w:p w:rsidR="002C7938" w:rsidRDefault="002C7938" w14:paraId="6BE9B55F"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5B4" w:rsidRDefault="007F65B4" w14:paraId="28B654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A32"/>
    <w:multiLevelType w:val="multilevel"/>
    <w:tmpl w:val="57CC84E6"/>
    <w:lvl w:ilvl="0">
      <w:start w:val="5"/>
      <w:numFmt w:val="decimal"/>
      <w:lvlText w:val="%1"/>
      <w:lvlJc w:val="left"/>
      <w:pPr>
        <w:ind w:left="525" w:hanging="525"/>
      </w:pPr>
      <w:rPr>
        <w:rFonts w:hint="default"/>
      </w:rPr>
    </w:lvl>
    <w:lvl w:ilvl="1">
      <w:start w:val="5"/>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5EC4E26"/>
    <w:multiLevelType w:val="hybridMultilevel"/>
    <w:tmpl w:val="AA04080E"/>
    <w:lvl w:ilvl="0" w:tplc="08090001">
      <w:start w:val="1"/>
      <w:numFmt w:val="bullet"/>
      <w:lvlText w:val=""/>
      <w:lvlJc w:val="left"/>
      <w:pPr>
        <w:ind w:left="1584" w:hanging="360"/>
      </w:pPr>
      <w:rPr>
        <w:rFonts w:hint="default" w:ascii="Symbol" w:hAnsi="Symbol"/>
      </w:rPr>
    </w:lvl>
    <w:lvl w:ilvl="1" w:tplc="08090003" w:tentative="1">
      <w:start w:val="1"/>
      <w:numFmt w:val="bullet"/>
      <w:lvlText w:val="o"/>
      <w:lvlJc w:val="left"/>
      <w:pPr>
        <w:ind w:left="2304" w:hanging="360"/>
      </w:pPr>
      <w:rPr>
        <w:rFonts w:hint="default" w:ascii="Courier New" w:hAnsi="Courier New" w:cs="Courier New"/>
      </w:rPr>
    </w:lvl>
    <w:lvl w:ilvl="2" w:tplc="08090005" w:tentative="1">
      <w:start w:val="1"/>
      <w:numFmt w:val="bullet"/>
      <w:lvlText w:val=""/>
      <w:lvlJc w:val="left"/>
      <w:pPr>
        <w:ind w:left="3024" w:hanging="360"/>
      </w:pPr>
      <w:rPr>
        <w:rFonts w:hint="default" w:ascii="Wingdings" w:hAnsi="Wingdings"/>
      </w:rPr>
    </w:lvl>
    <w:lvl w:ilvl="3" w:tplc="08090001" w:tentative="1">
      <w:start w:val="1"/>
      <w:numFmt w:val="bullet"/>
      <w:lvlText w:val=""/>
      <w:lvlJc w:val="left"/>
      <w:pPr>
        <w:ind w:left="3744" w:hanging="360"/>
      </w:pPr>
      <w:rPr>
        <w:rFonts w:hint="default" w:ascii="Symbol" w:hAnsi="Symbol"/>
      </w:rPr>
    </w:lvl>
    <w:lvl w:ilvl="4" w:tplc="08090003" w:tentative="1">
      <w:start w:val="1"/>
      <w:numFmt w:val="bullet"/>
      <w:lvlText w:val="o"/>
      <w:lvlJc w:val="left"/>
      <w:pPr>
        <w:ind w:left="4464" w:hanging="360"/>
      </w:pPr>
      <w:rPr>
        <w:rFonts w:hint="default" w:ascii="Courier New" w:hAnsi="Courier New" w:cs="Courier New"/>
      </w:rPr>
    </w:lvl>
    <w:lvl w:ilvl="5" w:tplc="08090005" w:tentative="1">
      <w:start w:val="1"/>
      <w:numFmt w:val="bullet"/>
      <w:lvlText w:val=""/>
      <w:lvlJc w:val="left"/>
      <w:pPr>
        <w:ind w:left="5184" w:hanging="360"/>
      </w:pPr>
      <w:rPr>
        <w:rFonts w:hint="default" w:ascii="Wingdings" w:hAnsi="Wingdings"/>
      </w:rPr>
    </w:lvl>
    <w:lvl w:ilvl="6" w:tplc="08090001" w:tentative="1">
      <w:start w:val="1"/>
      <w:numFmt w:val="bullet"/>
      <w:lvlText w:val=""/>
      <w:lvlJc w:val="left"/>
      <w:pPr>
        <w:ind w:left="5904" w:hanging="360"/>
      </w:pPr>
      <w:rPr>
        <w:rFonts w:hint="default" w:ascii="Symbol" w:hAnsi="Symbol"/>
      </w:rPr>
    </w:lvl>
    <w:lvl w:ilvl="7" w:tplc="08090003" w:tentative="1">
      <w:start w:val="1"/>
      <w:numFmt w:val="bullet"/>
      <w:lvlText w:val="o"/>
      <w:lvlJc w:val="left"/>
      <w:pPr>
        <w:ind w:left="6624" w:hanging="360"/>
      </w:pPr>
      <w:rPr>
        <w:rFonts w:hint="default" w:ascii="Courier New" w:hAnsi="Courier New" w:cs="Courier New"/>
      </w:rPr>
    </w:lvl>
    <w:lvl w:ilvl="8" w:tplc="08090005" w:tentative="1">
      <w:start w:val="1"/>
      <w:numFmt w:val="bullet"/>
      <w:lvlText w:val=""/>
      <w:lvlJc w:val="left"/>
      <w:pPr>
        <w:ind w:left="7344" w:hanging="360"/>
      </w:pPr>
      <w:rPr>
        <w:rFonts w:hint="default" w:ascii="Wingdings" w:hAnsi="Wingdings"/>
      </w:rPr>
    </w:lvl>
  </w:abstractNum>
  <w:abstractNum w:abstractNumId="2" w15:restartNumberingAfterBreak="0">
    <w:nsid w:val="07B31721"/>
    <w:multiLevelType w:val="multilevel"/>
    <w:tmpl w:val="E724D2A2"/>
    <w:lvl w:ilvl="0">
      <w:start w:val="5"/>
      <w:numFmt w:val="decimal"/>
      <w:lvlText w:val="%1"/>
      <w:lvlJc w:val="left"/>
      <w:pPr>
        <w:ind w:left="360" w:hanging="360"/>
      </w:pPr>
      <w:rPr>
        <w:rFonts w:hint="default" w:cstheme="majorBidi"/>
      </w:rPr>
    </w:lvl>
    <w:lvl w:ilvl="1">
      <w:start w:val="2"/>
      <w:numFmt w:val="decimal"/>
      <w:lvlText w:val="%1.%2"/>
      <w:lvlJc w:val="left"/>
      <w:pPr>
        <w:ind w:left="927" w:hanging="360"/>
      </w:pPr>
      <w:rPr>
        <w:rFonts w:hint="default" w:cstheme="majorBidi"/>
        <w:b w:val="0"/>
      </w:rPr>
    </w:lvl>
    <w:lvl w:ilvl="2">
      <w:start w:val="1"/>
      <w:numFmt w:val="decimal"/>
      <w:lvlText w:val="%1.%2.%3"/>
      <w:lvlJc w:val="left"/>
      <w:pPr>
        <w:ind w:left="1854" w:hanging="720"/>
      </w:pPr>
      <w:rPr>
        <w:rFonts w:hint="default" w:cstheme="majorBidi"/>
      </w:rPr>
    </w:lvl>
    <w:lvl w:ilvl="3">
      <w:start w:val="1"/>
      <w:numFmt w:val="decimal"/>
      <w:lvlText w:val="%1.%2.%3.%4"/>
      <w:lvlJc w:val="left"/>
      <w:pPr>
        <w:ind w:left="2781" w:hanging="1080"/>
      </w:pPr>
      <w:rPr>
        <w:rFonts w:hint="default" w:cstheme="majorBidi"/>
      </w:rPr>
    </w:lvl>
    <w:lvl w:ilvl="4">
      <w:start w:val="1"/>
      <w:numFmt w:val="decimal"/>
      <w:lvlText w:val="%1.%2.%3.%4.%5"/>
      <w:lvlJc w:val="left"/>
      <w:pPr>
        <w:ind w:left="3348" w:hanging="1080"/>
      </w:pPr>
      <w:rPr>
        <w:rFonts w:hint="default" w:cstheme="majorBidi"/>
      </w:rPr>
    </w:lvl>
    <w:lvl w:ilvl="5">
      <w:start w:val="1"/>
      <w:numFmt w:val="decimal"/>
      <w:lvlText w:val="%1.%2.%3.%4.%5.%6"/>
      <w:lvlJc w:val="left"/>
      <w:pPr>
        <w:ind w:left="4275" w:hanging="1440"/>
      </w:pPr>
      <w:rPr>
        <w:rFonts w:hint="default" w:cstheme="majorBidi"/>
      </w:rPr>
    </w:lvl>
    <w:lvl w:ilvl="6">
      <w:start w:val="1"/>
      <w:numFmt w:val="decimal"/>
      <w:lvlText w:val="%1.%2.%3.%4.%5.%6.%7"/>
      <w:lvlJc w:val="left"/>
      <w:pPr>
        <w:ind w:left="4842" w:hanging="1440"/>
      </w:pPr>
      <w:rPr>
        <w:rFonts w:hint="default" w:cstheme="majorBidi"/>
      </w:rPr>
    </w:lvl>
    <w:lvl w:ilvl="7">
      <w:start w:val="1"/>
      <w:numFmt w:val="decimal"/>
      <w:lvlText w:val="%1.%2.%3.%4.%5.%6.%7.%8"/>
      <w:lvlJc w:val="left"/>
      <w:pPr>
        <w:ind w:left="5769" w:hanging="1800"/>
      </w:pPr>
      <w:rPr>
        <w:rFonts w:hint="default" w:cstheme="majorBidi"/>
      </w:rPr>
    </w:lvl>
    <w:lvl w:ilvl="8">
      <w:start w:val="1"/>
      <w:numFmt w:val="decimal"/>
      <w:lvlText w:val="%1.%2.%3.%4.%5.%6.%7.%8.%9"/>
      <w:lvlJc w:val="left"/>
      <w:pPr>
        <w:ind w:left="6336" w:hanging="1800"/>
      </w:pPr>
      <w:rPr>
        <w:rFonts w:hint="default" w:cstheme="majorBidi"/>
      </w:rPr>
    </w:lvl>
  </w:abstractNum>
  <w:abstractNum w:abstractNumId="3" w15:restartNumberingAfterBreak="0">
    <w:nsid w:val="09E82CEC"/>
    <w:multiLevelType w:val="multilevel"/>
    <w:tmpl w:val="202C84C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48A14"/>
    <w:multiLevelType w:val="multilevel"/>
    <w:tmpl w:val="87A64C6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D6D18"/>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E7792"/>
    <w:multiLevelType w:val="multilevel"/>
    <w:tmpl w:val="3D10E04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923" w:hanging="108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50766"/>
    <w:multiLevelType w:val="hybridMultilevel"/>
    <w:tmpl w:val="EEDC0C44"/>
    <w:lvl w:ilvl="0" w:tplc="E29E88DC">
      <w:start w:val="1"/>
      <w:numFmt w:val="decimal"/>
      <w:lvlText w:val="3.%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557C7"/>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C9560E"/>
    <w:multiLevelType w:val="hybridMultilevel"/>
    <w:tmpl w:val="32787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4B43C9"/>
    <w:multiLevelType w:val="multilevel"/>
    <w:tmpl w:val="8E560EDC"/>
    <w:lvl w:ilvl="0">
      <w:start w:val="6"/>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DB906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252EA5"/>
    <w:multiLevelType w:val="multilevel"/>
    <w:tmpl w:val="285808DC"/>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D35E98"/>
    <w:multiLevelType w:val="multilevel"/>
    <w:tmpl w:val="084001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3F73C9"/>
    <w:multiLevelType w:val="hybridMultilevel"/>
    <w:tmpl w:val="6C462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9A28CE"/>
    <w:multiLevelType w:val="multilevel"/>
    <w:tmpl w:val="2362CBD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823736B"/>
    <w:multiLevelType w:val="multilevel"/>
    <w:tmpl w:val="8F926A18"/>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14B2"/>
    <w:multiLevelType w:val="hybridMultilevel"/>
    <w:tmpl w:val="4A96E202"/>
    <w:lvl w:ilvl="0" w:tplc="E11443F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2E14305C"/>
    <w:multiLevelType w:val="hybridMultilevel"/>
    <w:tmpl w:val="1DA48764"/>
    <w:lvl w:ilvl="0" w:tplc="AF9213FE">
      <w:numFmt w:val="none"/>
      <w:lvlText w:val=""/>
      <w:lvlJc w:val="left"/>
      <w:pPr>
        <w:tabs>
          <w:tab w:val="num" w:pos="360"/>
        </w:tabs>
      </w:pPr>
    </w:lvl>
    <w:lvl w:ilvl="1" w:tplc="3BF48DE8">
      <w:start w:val="1"/>
      <w:numFmt w:val="lowerLetter"/>
      <w:lvlText w:val="%2."/>
      <w:lvlJc w:val="left"/>
      <w:pPr>
        <w:ind w:left="1440" w:hanging="360"/>
      </w:pPr>
    </w:lvl>
    <w:lvl w:ilvl="2" w:tplc="A07C5892">
      <w:start w:val="1"/>
      <w:numFmt w:val="lowerRoman"/>
      <w:lvlText w:val="%3."/>
      <w:lvlJc w:val="right"/>
      <w:pPr>
        <w:ind w:left="2160" w:hanging="180"/>
      </w:pPr>
    </w:lvl>
    <w:lvl w:ilvl="3" w:tplc="52667DA8">
      <w:start w:val="1"/>
      <w:numFmt w:val="decimal"/>
      <w:lvlText w:val="%4."/>
      <w:lvlJc w:val="left"/>
      <w:pPr>
        <w:ind w:left="2880" w:hanging="360"/>
      </w:pPr>
    </w:lvl>
    <w:lvl w:ilvl="4" w:tplc="32CAB7E4">
      <w:start w:val="1"/>
      <w:numFmt w:val="lowerLetter"/>
      <w:lvlText w:val="%5."/>
      <w:lvlJc w:val="left"/>
      <w:pPr>
        <w:ind w:left="3600" w:hanging="360"/>
      </w:pPr>
    </w:lvl>
    <w:lvl w:ilvl="5" w:tplc="450C6DD8">
      <w:start w:val="1"/>
      <w:numFmt w:val="lowerRoman"/>
      <w:lvlText w:val="%6."/>
      <w:lvlJc w:val="right"/>
      <w:pPr>
        <w:ind w:left="4320" w:hanging="180"/>
      </w:pPr>
    </w:lvl>
    <w:lvl w:ilvl="6" w:tplc="6BE83CC8">
      <w:start w:val="1"/>
      <w:numFmt w:val="decimal"/>
      <w:lvlText w:val="%7."/>
      <w:lvlJc w:val="left"/>
      <w:pPr>
        <w:ind w:left="5040" w:hanging="360"/>
      </w:pPr>
    </w:lvl>
    <w:lvl w:ilvl="7" w:tplc="4094F69E">
      <w:start w:val="1"/>
      <w:numFmt w:val="lowerLetter"/>
      <w:lvlText w:val="%8."/>
      <w:lvlJc w:val="left"/>
      <w:pPr>
        <w:ind w:left="5760" w:hanging="360"/>
      </w:pPr>
    </w:lvl>
    <w:lvl w:ilvl="8" w:tplc="B6F672EA">
      <w:start w:val="1"/>
      <w:numFmt w:val="lowerRoman"/>
      <w:lvlText w:val="%9."/>
      <w:lvlJc w:val="right"/>
      <w:pPr>
        <w:ind w:left="6480" w:hanging="180"/>
      </w:pPr>
    </w:lvl>
  </w:abstractNum>
  <w:abstractNum w:abstractNumId="19" w15:restartNumberingAfterBreak="0">
    <w:nsid w:val="306E24F0"/>
    <w:multiLevelType w:val="multilevel"/>
    <w:tmpl w:val="8B1082D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661D9"/>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A712BC"/>
    <w:multiLevelType w:val="hybridMultilevel"/>
    <w:tmpl w:val="92843490"/>
    <w:lvl w:ilvl="0" w:tplc="D21E8A2E">
      <w:start w:val="2"/>
      <w:numFmt w:val="decimal"/>
      <w:lvlText w:val="4.%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76FE5"/>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2707B7"/>
    <w:multiLevelType w:val="multilevel"/>
    <w:tmpl w:val="73C0FE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9B03E3"/>
    <w:multiLevelType w:val="hybridMultilevel"/>
    <w:tmpl w:val="A12CBE0C"/>
    <w:lvl w:ilvl="0" w:tplc="699281BC">
      <w:start w:val="4"/>
      <w:numFmt w:val="decimal"/>
      <w:lvlText w:val="4.%1"/>
      <w:lvlJc w:val="left"/>
      <w:pPr>
        <w:ind w:left="144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D55AD"/>
    <w:multiLevelType w:val="multilevel"/>
    <w:tmpl w:val="37D65A38"/>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b w:val="0"/>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5D3704"/>
    <w:multiLevelType w:val="hybridMultilevel"/>
    <w:tmpl w:val="A49C6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4C0A53A0"/>
    <w:multiLevelType w:val="hybridMultilevel"/>
    <w:tmpl w:val="CC8CB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C773963"/>
    <w:multiLevelType w:val="multilevel"/>
    <w:tmpl w:val="44AE5C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70F4A"/>
    <w:multiLevelType w:val="hybridMultilevel"/>
    <w:tmpl w:val="2A3CA2EC"/>
    <w:lvl w:ilvl="0" w:tplc="B074E48A">
      <w:start w:val="1"/>
      <w:numFmt w:val="decimal"/>
      <w:lvlText w:val="4.1.%1"/>
      <w:lvlJc w:val="left"/>
      <w:pPr>
        <w:ind w:left="720" w:hanging="360"/>
      </w:pPr>
      <w:rPr>
        <w:rFonts w:hint="default" w:ascii="Arial" w:hAnsi="Arial" w:cs="Arial"/>
        <w:b w:val="0"/>
        <w:sz w:val="24"/>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C5EAA"/>
    <w:multiLevelType w:val="multilevel"/>
    <w:tmpl w:val="039823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hAnsi="Arial" w:eastAsia="Times New Roman" w:cs="Aria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F7C6ADD"/>
    <w:multiLevelType w:val="hybridMultilevel"/>
    <w:tmpl w:val="DF880E92"/>
    <w:lvl w:ilvl="0" w:tplc="745EA026">
      <w:start w:val="1"/>
      <w:numFmt w:val="decimal"/>
      <w:lvlText w:val="8.%1"/>
      <w:lvlJc w:val="left"/>
      <w:pPr>
        <w:ind w:left="1080" w:hanging="360"/>
      </w:pPr>
      <w:rPr>
        <w:rFonts w:hint="default" w:ascii="Arial" w:hAnsi="Arial" w:cs="Arial"/>
        <w:b w:val="0"/>
        <w:sz w:val="24"/>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BB1E76"/>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CF6DC7"/>
    <w:multiLevelType w:val="multilevel"/>
    <w:tmpl w:val="DAEAC34A"/>
    <w:lvl w:ilvl="0">
      <w:start w:val="6"/>
      <w:numFmt w:val="decimal"/>
      <w:lvlText w:val="%1"/>
      <w:lvlJc w:val="left"/>
      <w:pPr>
        <w:ind w:left="360" w:hanging="360"/>
      </w:pPr>
      <w:rPr>
        <w:rFonts w:hint="default"/>
      </w:rPr>
    </w:lvl>
    <w:lvl w:ilvl="1">
      <w:start w:val="5"/>
      <w:numFmt w:val="decimal"/>
      <w:lvlText w:val="%1.%2"/>
      <w:lvlJc w:val="left"/>
      <w:pPr>
        <w:ind w:left="927" w:hanging="360"/>
      </w:pPr>
      <w:rPr>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C3C1B2B"/>
    <w:multiLevelType w:val="hybridMultilevel"/>
    <w:tmpl w:val="D39CB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1436552"/>
    <w:multiLevelType w:val="multilevel"/>
    <w:tmpl w:val="7FFC81BC"/>
    <w:lvl w:ilvl="0">
      <w:start w:val="6"/>
      <w:numFmt w:val="decimal"/>
      <w:lvlText w:val="%1"/>
      <w:lvlJc w:val="left"/>
      <w:pPr>
        <w:ind w:left="525" w:hanging="525"/>
      </w:pPr>
      <w:rPr>
        <w:rFonts w:hint="default"/>
      </w:rPr>
    </w:lvl>
    <w:lvl w:ilvl="1">
      <w:start w:val="5"/>
      <w:numFmt w:val="decimal"/>
      <w:lvlText w:val="%1.%2"/>
      <w:lvlJc w:val="left"/>
      <w:pPr>
        <w:ind w:left="950" w:hanging="52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1855A88"/>
    <w:multiLevelType w:val="hybridMultilevel"/>
    <w:tmpl w:val="54C8D618"/>
    <w:lvl w:ilvl="0" w:tplc="E76E084A">
      <w:start w:val="3"/>
      <w:numFmt w:val="decimal"/>
      <w:lvlText w:val="3.%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16215"/>
    <w:multiLevelType w:val="hybridMultilevel"/>
    <w:tmpl w:val="3656D614"/>
    <w:lvl w:ilvl="0" w:tplc="BA76B682">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1" w15:restartNumberingAfterBreak="0">
    <w:nsid w:val="75342DC1"/>
    <w:multiLevelType w:val="multilevel"/>
    <w:tmpl w:val="E49E05BA"/>
    <w:lvl w:ilvl="0">
      <w:start w:val="9"/>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sz w:val="24"/>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2" w15:restartNumberingAfterBreak="0">
    <w:nsid w:val="7ACB1756"/>
    <w:multiLevelType w:val="multilevel"/>
    <w:tmpl w:val="74C8900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EC87FBA"/>
    <w:multiLevelType w:val="hybridMultilevel"/>
    <w:tmpl w:val="2E1AF55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34167767">
    <w:abstractNumId w:val="18"/>
  </w:num>
  <w:num w:numId="2" w16cid:durableId="1216817082">
    <w:abstractNumId w:val="4"/>
  </w:num>
  <w:num w:numId="3" w16cid:durableId="1648170051">
    <w:abstractNumId w:val="27"/>
  </w:num>
  <w:num w:numId="4" w16cid:durableId="802307525">
    <w:abstractNumId w:val="30"/>
  </w:num>
  <w:num w:numId="5" w16cid:durableId="1955214739">
    <w:abstractNumId w:val="31"/>
  </w:num>
  <w:num w:numId="6" w16cid:durableId="412549660">
    <w:abstractNumId w:val="41"/>
  </w:num>
  <w:num w:numId="7" w16cid:durableId="956180247">
    <w:abstractNumId w:val="11"/>
  </w:num>
  <w:num w:numId="8" w16cid:durableId="603541441">
    <w:abstractNumId w:val="13"/>
  </w:num>
  <w:num w:numId="9" w16cid:durableId="118695362">
    <w:abstractNumId w:val="29"/>
  </w:num>
  <w:num w:numId="10" w16cid:durableId="950208570">
    <w:abstractNumId w:val="17"/>
  </w:num>
  <w:num w:numId="11" w16cid:durableId="784545718">
    <w:abstractNumId w:val="40"/>
  </w:num>
  <w:num w:numId="12" w16cid:durableId="1207373110">
    <w:abstractNumId w:val="43"/>
  </w:num>
  <w:num w:numId="13" w16cid:durableId="1283655653">
    <w:abstractNumId w:val="33"/>
  </w:num>
  <w:num w:numId="14" w16cid:durableId="691222052">
    <w:abstractNumId w:val="42"/>
  </w:num>
  <w:num w:numId="15" w16cid:durableId="461920350">
    <w:abstractNumId w:val="6"/>
  </w:num>
  <w:num w:numId="16" w16cid:durableId="1115367712">
    <w:abstractNumId w:val="1"/>
  </w:num>
  <w:num w:numId="17" w16cid:durableId="1520700907">
    <w:abstractNumId w:val="7"/>
  </w:num>
  <w:num w:numId="18" w16cid:durableId="205530691">
    <w:abstractNumId w:val="39"/>
  </w:num>
  <w:num w:numId="19" w16cid:durableId="2143304841">
    <w:abstractNumId w:val="23"/>
  </w:num>
  <w:num w:numId="20" w16cid:durableId="974137665">
    <w:abstractNumId w:val="32"/>
  </w:num>
  <w:num w:numId="21" w16cid:durableId="1194417633">
    <w:abstractNumId w:val="21"/>
  </w:num>
  <w:num w:numId="22" w16cid:durableId="2033529390">
    <w:abstractNumId w:val="24"/>
  </w:num>
  <w:num w:numId="23" w16cid:durableId="1527059991">
    <w:abstractNumId w:val="5"/>
  </w:num>
  <w:num w:numId="24" w16cid:durableId="458644826">
    <w:abstractNumId w:val="16"/>
  </w:num>
  <w:num w:numId="25" w16cid:durableId="1833911991">
    <w:abstractNumId w:val="34"/>
  </w:num>
  <w:num w:numId="26" w16cid:durableId="836917806">
    <w:abstractNumId w:val="0"/>
  </w:num>
  <w:num w:numId="27" w16cid:durableId="1679962138">
    <w:abstractNumId w:val="10"/>
  </w:num>
  <w:num w:numId="28" w16cid:durableId="2005009435">
    <w:abstractNumId w:val="22"/>
  </w:num>
  <w:num w:numId="29" w16cid:durableId="385568102">
    <w:abstractNumId w:val="25"/>
  </w:num>
  <w:num w:numId="30" w16cid:durableId="1471051984">
    <w:abstractNumId w:val="12"/>
  </w:num>
  <w:num w:numId="31" w16cid:durableId="772897221">
    <w:abstractNumId w:val="38"/>
  </w:num>
  <w:num w:numId="32" w16cid:durableId="61954602">
    <w:abstractNumId w:val="20"/>
  </w:num>
  <w:num w:numId="33" w16cid:durableId="2146392004">
    <w:abstractNumId w:val="8"/>
  </w:num>
  <w:num w:numId="34" w16cid:durableId="2048750647">
    <w:abstractNumId w:val="15"/>
  </w:num>
  <w:num w:numId="35" w16cid:durableId="1596087880">
    <w:abstractNumId w:val="2"/>
  </w:num>
  <w:num w:numId="36" w16cid:durableId="1596933804">
    <w:abstractNumId w:val="35"/>
  </w:num>
  <w:num w:numId="37" w16cid:durableId="1131052778">
    <w:abstractNumId w:val="14"/>
  </w:num>
  <w:num w:numId="38" w16cid:durableId="304243730">
    <w:abstractNumId w:val="9"/>
  </w:num>
  <w:num w:numId="39" w16cid:durableId="954673860">
    <w:abstractNumId w:val="37"/>
  </w:num>
  <w:num w:numId="40" w16cid:durableId="1488209635">
    <w:abstractNumId w:val="26"/>
  </w:num>
  <w:num w:numId="41" w16cid:durableId="106968890">
    <w:abstractNumId w:val="28"/>
  </w:num>
  <w:num w:numId="42" w16cid:durableId="2089689484">
    <w:abstractNumId w:val="36"/>
  </w:num>
  <w:num w:numId="43" w16cid:durableId="691223936">
    <w:abstractNumId w:val="3"/>
  </w:num>
  <w:num w:numId="44" w16cid:durableId="197593916">
    <w:abstractNumId w:val="19"/>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4D3D"/>
    <w:rsid w:val="000D64FC"/>
    <w:rsid w:val="000F1475"/>
    <w:rsid w:val="000F4F7F"/>
    <w:rsid w:val="00110FB8"/>
    <w:rsid w:val="00127104"/>
    <w:rsid w:val="001379B8"/>
    <w:rsid w:val="00146B68"/>
    <w:rsid w:val="001715E6"/>
    <w:rsid w:val="001A7819"/>
    <w:rsid w:val="00212A81"/>
    <w:rsid w:val="002437CA"/>
    <w:rsid w:val="002452CB"/>
    <w:rsid w:val="002750C2"/>
    <w:rsid w:val="00284D7F"/>
    <w:rsid w:val="002C7938"/>
    <w:rsid w:val="002E2660"/>
    <w:rsid w:val="002E2EE0"/>
    <w:rsid w:val="002F7E36"/>
    <w:rsid w:val="00366FBB"/>
    <w:rsid w:val="003A0781"/>
    <w:rsid w:val="003A70DC"/>
    <w:rsid w:val="003C1E42"/>
    <w:rsid w:val="003E2168"/>
    <w:rsid w:val="00430B89"/>
    <w:rsid w:val="004458CE"/>
    <w:rsid w:val="00462EBD"/>
    <w:rsid w:val="004652CC"/>
    <w:rsid w:val="00481093"/>
    <w:rsid w:val="004B03A8"/>
    <w:rsid w:val="004B2EB9"/>
    <w:rsid w:val="004CEF9F"/>
    <w:rsid w:val="00516BB0"/>
    <w:rsid w:val="00537111"/>
    <w:rsid w:val="00544EFC"/>
    <w:rsid w:val="005563BE"/>
    <w:rsid w:val="00567974"/>
    <w:rsid w:val="00577A60"/>
    <w:rsid w:val="00592EE0"/>
    <w:rsid w:val="005D3098"/>
    <w:rsid w:val="005F4147"/>
    <w:rsid w:val="005F582E"/>
    <w:rsid w:val="00626619"/>
    <w:rsid w:val="00631012"/>
    <w:rsid w:val="00644D9F"/>
    <w:rsid w:val="006A5A60"/>
    <w:rsid w:val="006B3F4B"/>
    <w:rsid w:val="006F55E8"/>
    <w:rsid w:val="006F60A4"/>
    <w:rsid w:val="0071198C"/>
    <w:rsid w:val="007849BC"/>
    <w:rsid w:val="007B1B4F"/>
    <w:rsid w:val="007B322C"/>
    <w:rsid w:val="007B615B"/>
    <w:rsid w:val="007C4B6D"/>
    <w:rsid w:val="007D46FD"/>
    <w:rsid w:val="007E65FC"/>
    <w:rsid w:val="007E7970"/>
    <w:rsid w:val="007F65B4"/>
    <w:rsid w:val="00881BD0"/>
    <w:rsid w:val="008D31C2"/>
    <w:rsid w:val="008E0520"/>
    <w:rsid w:val="008E3BB2"/>
    <w:rsid w:val="00922C93"/>
    <w:rsid w:val="00927446"/>
    <w:rsid w:val="0096437B"/>
    <w:rsid w:val="00964730"/>
    <w:rsid w:val="00974D53"/>
    <w:rsid w:val="009F0656"/>
    <w:rsid w:val="00A15937"/>
    <w:rsid w:val="00A33598"/>
    <w:rsid w:val="00A53C33"/>
    <w:rsid w:val="00A75B8D"/>
    <w:rsid w:val="00A7612A"/>
    <w:rsid w:val="00AC1E76"/>
    <w:rsid w:val="00AD1F09"/>
    <w:rsid w:val="00AE221E"/>
    <w:rsid w:val="00AE465E"/>
    <w:rsid w:val="00B1150F"/>
    <w:rsid w:val="00B37D0B"/>
    <w:rsid w:val="00BA6832"/>
    <w:rsid w:val="00BB08D2"/>
    <w:rsid w:val="00BB19F1"/>
    <w:rsid w:val="00BD0585"/>
    <w:rsid w:val="00C54006"/>
    <w:rsid w:val="00C77E3C"/>
    <w:rsid w:val="00C81BB1"/>
    <w:rsid w:val="00CA3BD0"/>
    <w:rsid w:val="00CB54C0"/>
    <w:rsid w:val="00CE4E2F"/>
    <w:rsid w:val="00D17895"/>
    <w:rsid w:val="00D33BB9"/>
    <w:rsid w:val="00E17CCE"/>
    <w:rsid w:val="00E83AA9"/>
    <w:rsid w:val="00E9753A"/>
    <w:rsid w:val="00ED0751"/>
    <w:rsid w:val="00EE7692"/>
    <w:rsid w:val="00F06288"/>
    <w:rsid w:val="00F654EC"/>
    <w:rsid w:val="00F8146D"/>
    <w:rsid w:val="00F97C02"/>
    <w:rsid w:val="00FA360F"/>
    <w:rsid w:val="00FC1832"/>
    <w:rsid w:val="00FC78E4"/>
    <w:rsid w:val="010962C2"/>
    <w:rsid w:val="016F429F"/>
    <w:rsid w:val="02652028"/>
    <w:rsid w:val="02A53323"/>
    <w:rsid w:val="03849061"/>
    <w:rsid w:val="03DC1263"/>
    <w:rsid w:val="04410384"/>
    <w:rsid w:val="049C55B1"/>
    <w:rsid w:val="04A64260"/>
    <w:rsid w:val="0638BBF5"/>
    <w:rsid w:val="0738914B"/>
    <w:rsid w:val="078CA901"/>
    <w:rsid w:val="07C01DF5"/>
    <w:rsid w:val="0862190D"/>
    <w:rsid w:val="096FC6D4"/>
    <w:rsid w:val="0B7C6413"/>
    <w:rsid w:val="0BB80CB6"/>
    <w:rsid w:val="0DAFC055"/>
    <w:rsid w:val="0EDBDB8E"/>
    <w:rsid w:val="0F4B90B6"/>
    <w:rsid w:val="102738F0"/>
    <w:rsid w:val="11BF369B"/>
    <w:rsid w:val="11CF1CD9"/>
    <w:rsid w:val="11EFD2F6"/>
    <w:rsid w:val="121D78AF"/>
    <w:rsid w:val="13710730"/>
    <w:rsid w:val="1374D9E6"/>
    <w:rsid w:val="141F01D9"/>
    <w:rsid w:val="187D6761"/>
    <w:rsid w:val="18F272FC"/>
    <w:rsid w:val="19230CE0"/>
    <w:rsid w:val="1975CD19"/>
    <w:rsid w:val="199BA75E"/>
    <w:rsid w:val="1AD86DF2"/>
    <w:rsid w:val="1EB5F113"/>
    <w:rsid w:val="1F1C9EFA"/>
    <w:rsid w:val="1F33F657"/>
    <w:rsid w:val="1F7E4A1B"/>
    <w:rsid w:val="2187B594"/>
    <w:rsid w:val="22BA1610"/>
    <w:rsid w:val="22F9B9B3"/>
    <w:rsid w:val="23E0F9D4"/>
    <w:rsid w:val="24972A50"/>
    <w:rsid w:val="252AE8E1"/>
    <w:rsid w:val="26221105"/>
    <w:rsid w:val="28EF6E69"/>
    <w:rsid w:val="2AD4D9CA"/>
    <w:rsid w:val="2B231E7F"/>
    <w:rsid w:val="2BF95102"/>
    <w:rsid w:val="2C47CFF9"/>
    <w:rsid w:val="2D576547"/>
    <w:rsid w:val="2F3D46D7"/>
    <w:rsid w:val="30B5363D"/>
    <w:rsid w:val="30ECA783"/>
    <w:rsid w:val="33757DD6"/>
    <w:rsid w:val="33BC779B"/>
    <w:rsid w:val="35700E98"/>
    <w:rsid w:val="35E039EF"/>
    <w:rsid w:val="36A88C07"/>
    <w:rsid w:val="37DBF2B6"/>
    <w:rsid w:val="37EA4FCB"/>
    <w:rsid w:val="38331A7A"/>
    <w:rsid w:val="3986202C"/>
    <w:rsid w:val="39F73A90"/>
    <w:rsid w:val="3AEF1864"/>
    <w:rsid w:val="3B930AF1"/>
    <w:rsid w:val="3B9632A5"/>
    <w:rsid w:val="3EC12932"/>
    <w:rsid w:val="3F2D2ABA"/>
    <w:rsid w:val="4264CB7C"/>
    <w:rsid w:val="43331957"/>
    <w:rsid w:val="44009BDD"/>
    <w:rsid w:val="44B096D1"/>
    <w:rsid w:val="45D2DA64"/>
    <w:rsid w:val="479E72DB"/>
    <w:rsid w:val="49541626"/>
    <w:rsid w:val="49FE3E19"/>
    <w:rsid w:val="4A961DCE"/>
    <w:rsid w:val="4BD27D5B"/>
    <w:rsid w:val="4D2B35BE"/>
    <w:rsid w:val="4ED1AF3C"/>
    <w:rsid w:val="4F698EF1"/>
    <w:rsid w:val="50E0672D"/>
    <w:rsid w:val="51F4BA32"/>
    <w:rsid w:val="53189037"/>
    <w:rsid w:val="5328C037"/>
    <w:rsid w:val="53C6E636"/>
    <w:rsid w:val="5423D7B7"/>
    <w:rsid w:val="55D8D075"/>
    <w:rsid w:val="575B7879"/>
    <w:rsid w:val="576F1F5F"/>
    <w:rsid w:val="5774A0D6"/>
    <w:rsid w:val="580BA543"/>
    <w:rsid w:val="5A8BC4AE"/>
    <w:rsid w:val="5AAC4198"/>
    <w:rsid w:val="5B8309FE"/>
    <w:rsid w:val="5C41F4ED"/>
    <w:rsid w:val="5D9D1DA6"/>
    <w:rsid w:val="5DD63358"/>
    <w:rsid w:val="5FDD9644"/>
    <w:rsid w:val="60C87884"/>
    <w:rsid w:val="60E407D8"/>
    <w:rsid w:val="61B77955"/>
    <w:rsid w:val="62916839"/>
    <w:rsid w:val="62F00642"/>
    <w:rsid w:val="64F931B1"/>
    <w:rsid w:val="668A8BAD"/>
    <w:rsid w:val="6DE875E4"/>
    <w:rsid w:val="6E7CD400"/>
    <w:rsid w:val="6E98F817"/>
    <w:rsid w:val="700AF55F"/>
    <w:rsid w:val="7104C33A"/>
    <w:rsid w:val="7117E0AF"/>
    <w:rsid w:val="714E9786"/>
    <w:rsid w:val="71F3191F"/>
    <w:rsid w:val="744F8171"/>
    <w:rsid w:val="74528B5A"/>
    <w:rsid w:val="7536333C"/>
    <w:rsid w:val="759BABD1"/>
    <w:rsid w:val="75A1C5C7"/>
    <w:rsid w:val="75EE5BBB"/>
    <w:rsid w:val="77377C32"/>
    <w:rsid w:val="79D3286A"/>
    <w:rsid w:val="7CDA9B70"/>
    <w:rsid w:val="7FA7CFA5"/>
    <w:rsid w:val="7FF70F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CE53"/>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3"/>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4"/>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5"/>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A15937"/>
    <w:pPr>
      <w:tabs>
        <w:tab w:val="right" w:leader="dot" w:pos="9016"/>
      </w:tabs>
      <w:spacing w:after="100"/>
      <w:ind w:left="0" w:hanging="284"/>
    </w:pPr>
  </w:style>
  <w:style w:type="paragraph" w:styleId="TOC2">
    <w:name w:val="toc 2"/>
    <w:basedOn w:val="Normal"/>
    <w:next w:val="Normal"/>
    <w:autoRedefine/>
    <w:uiPriority w:val="39"/>
    <w:unhideWhenUsed/>
    <w:rsid w:val="00A15937"/>
    <w:pPr>
      <w:tabs>
        <w:tab w:val="right" w:leader="dot" w:pos="9016"/>
      </w:tabs>
      <w:spacing w:after="100"/>
      <w:ind w:left="240" w:hanging="524"/>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E83AA9"/>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E83AA9"/>
    <w:rPr>
      <w:rFonts w:ascii="Times New Roman" w:hAnsi="Times New Roman" w:eastAsia="Times New Roman" w:cs="Times New Roman"/>
      <w:b/>
      <w:sz w:val="28"/>
      <w:szCs w:val="20"/>
    </w:rPr>
  </w:style>
  <w:style w:type="character" w:styleId="CommentReference">
    <w:name w:val="annotation reference"/>
    <w:basedOn w:val="DefaultParagraphFont"/>
    <w:uiPriority w:val="99"/>
    <w:semiHidden/>
    <w:unhideWhenUsed/>
    <w:rsid w:val="006A5A60"/>
    <w:rPr>
      <w:sz w:val="16"/>
      <w:szCs w:val="16"/>
    </w:rPr>
  </w:style>
  <w:style w:type="paragraph" w:styleId="CommentText">
    <w:name w:val="annotation text"/>
    <w:basedOn w:val="Normal"/>
    <w:link w:val="CommentTextChar"/>
    <w:uiPriority w:val="99"/>
    <w:unhideWhenUsed/>
    <w:rsid w:val="006A5A60"/>
    <w:rPr>
      <w:sz w:val="20"/>
      <w:szCs w:val="20"/>
    </w:rPr>
  </w:style>
  <w:style w:type="character" w:styleId="CommentTextChar" w:customStyle="1">
    <w:name w:val="Comment Text Char"/>
    <w:basedOn w:val="DefaultParagraphFont"/>
    <w:link w:val="CommentText"/>
    <w:uiPriority w:val="99"/>
    <w:rsid w:val="006A5A60"/>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A5A60"/>
    <w:rPr>
      <w:b/>
      <w:bCs/>
    </w:rPr>
  </w:style>
  <w:style w:type="character" w:styleId="CommentSubjectChar" w:customStyle="1">
    <w:name w:val="Comment Subject Char"/>
    <w:basedOn w:val="CommentTextChar"/>
    <w:link w:val="CommentSubject"/>
    <w:uiPriority w:val="99"/>
    <w:semiHidden/>
    <w:rsid w:val="006A5A60"/>
    <w:rPr>
      <w:rFonts w:ascii="Arial" w:hAnsi="Arial" w:eastAsia="Arial" w:cs="Arial"/>
      <w:b/>
      <w:bCs/>
      <w:color w:val="000000"/>
      <w:sz w:val="20"/>
      <w:szCs w:val="20"/>
      <w:lang w:eastAsia="en-GB"/>
    </w:rPr>
  </w:style>
  <w:style w:type="paragraph" w:styleId="BalloonText">
    <w:name w:val="Balloon Text"/>
    <w:basedOn w:val="Normal"/>
    <w:link w:val="BalloonTextChar"/>
    <w:uiPriority w:val="99"/>
    <w:semiHidden/>
    <w:unhideWhenUsed/>
    <w:rsid w:val="006A5A6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A60"/>
    <w:rPr>
      <w:rFonts w:ascii="Segoe UI" w:hAnsi="Segoe UI" w:eastAsia="Arial" w:cs="Segoe UI"/>
      <w:color w:val="000000"/>
      <w:sz w:val="18"/>
      <w:szCs w:val="18"/>
      <w:lang w:eastAsia="en-GB"/>
    </w:rPr>
  </w:style>
  <w:style w:type="paragraph" w:styleId="Revision">
    <w:name w:val="Revision"/>
    <w:hidden/>
    <w:uiPriority w:val="99"/>
    <w:semiHidden/>
    <w:rsid w:val="00064D3D"/>
    <w:pPr>
      <w:spacing w:after="0" w:line="240" w:lineRule="auto"/>
    </w:pPr>
    <w:rPr>
      <w:rFonts w:ascii="Arial" w:hAnsi="Arial" w:eastAsia="Arial" w:cs="Arial"/>
      <w:color w:val="000000"/>
      <w:sz w:val="24"/>
      <w:lang w:eastAsia="en-GB"/>
    </w:rPr>
  </w:style>
  <w:style w:type="character" w:styleId="UnresolvedMention">
    <w:name w:val="Unresolved Mention"/>
    <w:basedOn w:val="DefaultParagraphFont"/>
    <w:uiPriority w:val="99"/>
    <w:semiHidden/>
    <w:unhideWhenUsed/>
    <w:rsid w:val="007F6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teaching/qa/codes/taught/documents/copt2020-annexj-boards-of-examiners-v2.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kent.ac.uk/teaching/qa/credit-framework/documents/cf2020-annex9-appendix1-conventions.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documents/cf2020-annex9-appendix2-extensions.pd"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ent.ac.uk/education/regulatory-framework/policies-and-procedures-examinations-guidance"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teaching/qa/credit-framework/documents/cf2020-annex9-appendix1-conventions.pdf" TargetMode="External" Id="rId14" /><Relationship Type="http://schemas.openxmlformats.org/officeDocument/2006/relationships/header" Target="header3.xml" Id="rId22" /><Relationship Type="http://schemas.openxmlformats.org/officeDocument/2006/relationships/hyperlink" Target="https://www.kent.ac.uk/education/regulatory-framework/policies-and-procedures-examinations-guidance/policies" TargetMode="External" Id="Rd616a73615a340f5" /><Relationship Type="http://schemas.openxmlformats.org/officeDocument/2006/relationships/hyperlink" Target="https://www.kent.ac.uk/education/regulatory-framework/policies-and-procedures-examinations-guidance/policies" TargetMode="External" Id="R361ed917256b4df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37528-40AA-4DD9-B7BE-F72828D44CDA}">
  <ds:schemaRefs>
    <ds:schemaRef ds:uri="http://schemas.openxmlformats.org/officeDocument/2006/bibliography"/>
  </ds:schemaRefs>
</ds:datastoreItem>
</file>

<file path=customXml/itemProps2.xml><?xml version="1.0" encoding="utf-8"?>
<ds:datastoreItem xmlns:ds="http://schemas.openxmlformats.org/officeDocument/2006/customXml" ds:itemID="{B8159E9E-9A29-4A4A-A65E-C0086800A914}">
  <ds:schemaRefs>
    <ds:schemaRef ds:uri="http://schemas.microsoft.com/sharepoint/v3/contenttype/forms"/>
  </ds:schemaRefs>
</ds:datastoreItem>
</file>

<file path=customXml/itemProps3.xml><?xml version="1.0" encoding="utf-8"?>
<ds:datastoreItem xmlns:ds="http://schemas.openxmlformats.org/officeDocument/2006/customXml" ds:itemID="{FDFDD2F6-3596-48D2-91DD-E685CE4721CF}">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B5ECBC27-3D0E-4218-800A-F47D5B245824}"/>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7</cp:revision>
  <cp:lastPrinted>2022-09-09T13:37:00Z</cp:lastPrinted>
  <dcterms:created xsi:type="dcterms:W3CDTF">2022-09-20T07:56:00Z</dcterms:created>
  <dcterms:modified xsi:type="dcterms:W3CDTF">2023-11-10T14:24:44Z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