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3D14" w14:textId="77777777" w:rsidR="008D0512" w:rsidRPr="004D28DE" w:rsidRDefault="008D0512" w:rsidP="008D0512">
      <w:pPr>
        <w:rPr>
          <w:b/>
          <w:sz w:val="32"/>
        </w:rPr>
      </w:pPr>
      <w:r w:rsidRPr="004D28DE">
        <w:rPr>
          <w:b/>
          <w:sz w:val="32"/>
        </w:rPr>
        <w:t>Annex M: Practice Research</w:t>
      </w:r>
    </w:p>
    <w:p w14:paraId="1DA80F12" w14:textId="787998C6" w:rsidR="008D0512" w:rsidRDefault="008D0512" w:rsidP="008D0512">
      <w:pPr>
        <w:tabs>
          <w:tab w:val="left" w:pos="8505"/>
        </w:tabs>
        <w:ind w:right="527"/>
        <w:rPr>
          <w:szCs w:val="24"/>
        </w:rPr>
      </w:pPr>
    </w:p>
    <w:p w14:paraId="6BE6E82D" w14:textId="2BA8BCEA" w:rsidR="00106E74" w:rsidRPr="00106E74" w:rsidRDefault="00106E74" w:rsidP="008D0512">
      <w:pPr>
        <w:tabs>
          <w:tab w:val="left" w:pos="8505"/>
        </w:tabs>
        <w:ind w:right="527"/>
        <w:rPr>
          <w:b/>
          <w:bCs/>
          <w:szCs w:val="24"/>
        </w:rPr>
      </w:pPr>
      <w:r w:rsidRPr="00106E74">
        <w:rPr>
          <w:b/>
          <w:bCs/>
          <w:szCs w:val="24"/>
        </w:rPr>
        <w:t xml:space="preserve">Contents </w:t>
      </w:r>
    </w:p>
    <w:p w14:paraId="06538210" w14:textId="310BFCFB" w:rsidR="00106E74" w:rsidRDefault="00106E74" w:rsidP="00106E74">
      <w:pPr>
        <w:pStyle w:val="TOC1"/>
        <w:tabs>
          <w:tab w:val="left" w:pos="567"/>
          <w:tab w:val="right" w:leader="dot" w:pos="9016"/>
        </w:tabs>
        <w:ind w:left="567" w:hanging="567"/>
        <w:rPr>
          <w:noProof/>
        </w:rPr>
      </w:pPr>
      <w:r>
        <w:rPr>
          <w:szCs w:val="24"/>
        </w:rPr>
        <w:fldChar w:fldCharType="begin"/>
      </w:r>
      <w:r>
        <w:rPr>
          <w:szCs w:val="24"/>
        </w:rPr>
        <w:instrText xml:space="preserve"> TOC \o "1-2" \h \z \u </w:instrText>
      </w:r>
      <w:r>
        <w:rPr>
          <w:szCs w:val="24"/>
        </w:rPr>
        <w:fldChar w:fldCharType="separate"/>
      </w:r>
      <w:hyperlink w:anchor="_Toc84341427" w:history="1">
        <w:r w:rsidRPr="002809D2">
          <w:rPr>
            <w:rStyle w:val="Hyperlink"/>
            <w:noProof/>
          </w:rPr>
          <w:t xml:space="preserve">1. </w:t>
        </w:r>
        <w:r>
          <w:rPr>
            <w:noProof/>
          </w:rPr>
          <w:tab/>
        </w:r>
        <w:r w:rsidRPr="002809D2">
          <w:rPr>
            <w:rStyle w:val="Hyperlink"/>
            <w:noProof/>
          </w:rPr>
          <w:t>Introduction</w:t>
        </w:r>
        <w:r>
          <w:rPr>
            <w:noProof/>
            <w:webHidden/>
          </w:rPr>
          <w:tab/>
        </w:r>
        <w:r>
          <w:rPr>
            <w:noProof/>
            <w:webHidden/>
          </w:rPr>
          <w:fldChar w:fldCharType="begin"/>
        </w:r>
        <w:r>
          <w:rPr>
            <w:noProof/>
            <w:webHidden/>
          </w:rPr>
          <w:instrText xml:space="preserve"> PAGEREF _Toc84341427 \h </w:instrText>
        </w:r>
        <w:r>
          <w:rPr>
            <w:noProof/>
            <w:webHidden/>
          </w:rPr>
        </w:r>
        <w:r>
          <w:rPr>
            <w:noProof/>
            <w:webHidden/>
          </w:rPr>
          <w:fldChar w:fldCharType="separate"/>
        </w:r>
        <w:r>
          <w:rPr>
            <w:noProof/>
            <w:webHidden/>
          </w:rPr>
          <w:t>2</w:t>
        </w:r>
        <w:r>
          <w:rPr>
            <w:noProof/>
            <w:webHidden/>
          </w:rPr>
          <w:fldChar w:fldCharType="end"/>
        </w:r>
      </w:hyperlink>
    </w:p>
    <w:p w14:paraId="4CB15995" w14:textId="3B890836" w:rsidR="00106E74" w:rsidRDefault="00000000" w:rsidP="00106E74">
      <w:pPr>
        <w:pStyle w:val="TOC1"/>
        <w:tabs>
          <w:tab w:val="left" w:pos="567"/>
          <w:tab w:val="right" w:leader="dot" w:pos="9016"/>
        </w:tabs>
        <w:ind w:left="567" w:hanging="567"/>
        <w:rPr>
          <w:noProof/>
        </w:rPr>
      </w:pPr>
      <w:hyperlink w:anchor="_Toc84341428" w:history="1">
        <w:r w:rsidR="00106E74" w:rsidRPr="002809D2">
          <w:rPr>
            <w:rStyle w:val="Hyperlink"/>
            <w:noProof/>
          </w:rPr>
          <w:t xml:space="preserve">2. </w:t>
        </w:r>
        <w:r w:rsidR="00106E74">
          <w:rPr>
            <w:noProof/>
          </w:rPr>
          <w:tab/>
        </w:r>
        <w:r w:rsidR="00106E74" w:rsidRPr="002809D2">
          <w:rPr>
            <w:rStyle w:val="Hyperlink"/>
            <w:noProof/>
          </w:rPr>
          <w:t>Course Approval</w:t>
        </w:r>
        <w:r w:rsidR="00106E74">
          <w:rPr>
            <w:noProof/>
            <w:webHidden/>
          </w:rPr>
          <w:tab/>
        </w:r>
        <w:r w:rsidR="00106E74">
          <w:rPr>
            <w:noProof/>
            <w:webHidden/>
          </w:rPr>
          <w:fldChar w:fldCharType="begin"/>
        </w:r>
        <w:r w:rsidR="00106E74">
          <w:rPr>
            <w:noProof/>
            <w:webHidden/>
          </w:rPr>
          <w:instrText xml:space="preserve"> PAGEREF _Toc84341428 \h </w:instrText>
        </w:r>
        <w:r w:rsidR="00106E74">
          <w:rPr>
            <w:noProof/>
            <w:webHidden/>
          </w:rPr>
        </w:r>
        <w:r w:rsidR="00106E74">
          <w:rPr>
            <w:noProof/>
            <w:webHidden/>
          </w:rPr>
          <w:fldChar w:fldCharType="separate"/>
        </w:r>
        <w:r w:rsidR="00106E74">
          <w:rPr>
            <w:noProof/>
            <w:webHidden/>
          </w:rPr>
          <w:t>2</w:t>
        </w:r>
        <w:r w:rsidR="00106E74">
          <w:rPr>
            <w:noProof/>
            <w:webHidden/>
          </w:rPr>
          <w:fldChar w:fldCharType="end"/>
        </w:r>
      </w:hyperlink>
    </w:p>
    <w:p w14:paraId="4AC684B1" w14:textId="39417D1C" w:rsidR="00106E74" w:rsidRDefault="00000000" w:rsidP="00106E74">
      <w:pPr>
        <w:pStyle w:val="TOC1"/>
        <w:tabs>
          <w:tab w:val="left" w:pos="567"/>
          <w:tab w:val="right" w:leader="dot" w:pos="9016"/>
        </w:tabs>
        <w:ind w:left="567" w:hanging="567"/>
        <w:rPr>
          <w:noProof/>
        </w:rPr>
      </w:pPr>
      <w:hyperlink w:anchor="_Toc84341429" w:history="1">
        <w:r w:rsidR="00106E74" w:rsidRPr="002809D2">
          <w:rPr>
            <w:rStyle w:val="Hyperlink"/>
            <w:noProof/>
          </w:rPr>
          <w:t xml:space="preserve">3. </w:t>
        </w:r>
        <w:r w:rsidR="00106E74">
          <w:rPr>
            <w:noProof/>
          </w:rPr>
          <w:tab/>
        </w:r>
        <w:r w:rsidR="00106E74" w:rsidRPr="002809D2">
          <w:rPr>
            <w:rStyle w:val="Hyperlink"/>
            <w:noProof/>
          </w:rPr>
          <w:t>Student Support</w:t>
        </w:r>
        <w:r w:rsidR="00106E74">
          <w:rPr>
            <w:noProof/>
            <w:webHidden/>
          </w:rPr>
          <w:tab/>
        </w:r>
        <w:r w:rsidR="00106E74">
          <w:rPr>
            <w:noProof/>
            <w:webHidden/>
          </w:rPr>
          <w:fldChar w:fldCharType="begin"/>
        </w:r>
        <w:r w:rsidR="00106E74">
          <w:rPr>
            <w:noProof/>
            <w:webHidden/>
          </w:rPr>
          <w:instrText xml:space="preserve"> PAGEREF _Toc84341429 \h </w:instrText>
        </w:r>
        <w:r w:rsidR="00106E74">
          <w:rPr>
            <w:noProof/>
            <w:webHidden/>
          </w:rPr>
        </w:r>
        <w:r w:rsidR="00106E74">
          <w:rPr>
            <w:noProof/>
            <w:webHidden/>
          </w:rPr>
          <w:fldChar w:fldCharType="separate"/>
        </w:r>
        <w:r w:rsidR="00106E74">
          <w:rPr>
            <w:noProof/>
            <w:webHidden/>
          </w:rPr>
          <w:t>2</w:t>
        </w:r>
        <w:r w:rsidR="00106E74">
          <w:rPr>
            <w:noProof/>
            <w:webHidden/>
          </w:rPr>
          <w:fldChar w:fldCharType="end"/>
        </w:r>
      </w:hyperlink>
    </w:p>
    <w:p w14:paraId="3CDD52CB" w14:textId="4A9811F7" w:rsidR="00106E74" w:rsidRDefault="00000000" w:rsidP="00106E74">
      <w:pPr>
        <w:pStyle w:val="TOC1"/>
        <w:tabs>
          <w:tab w:val="left" w:pos="567"/>
          <w:tab w:val="right" w:leader="dot" w:pos="9016"/>
        </w:tabs>
        <w:ind w:left="567" w:hanging="567"/>
        <w:rPr>
          <w:noProof/>
        </w:rPr>
      </w:pPr>
      <w:hyperlink w:anchor="_Toc84341430" w:history="1">
        <w:r w:rsidR="00106E74" w:rsidRPr="002809D2">
          <w:rPr>
            <w:rStyle w:val="Hyperlink"/>
            <w:noProof/>
          </w:rPr>
          <w:t>4.</w:t>
        </w:r>
        <w:r w:rsidR="00106E74">
          <w:rPr>
            <w:noProof/>
          </w:rPr>
          <w:tab/>
        </w:r>
        <w:r w:rsidR="00106E74" w:rsidRPr="002809D2">
          <w:rPr>
            <w:rStyle w:val="Hyperlink"/>
            <w:noProof/>
          </w:rPr>
          <w:t>Research Output</w:t>
        </w:r>
        <w:r w:rsidR="00106E74">
          <w:rPr>
            <w:noProof/>
            <w:webHidden/>
          </w:rPr>
          <w:tab/>
        </w:r>
        <w:r w:rsidR="00106E74">
          <w:rPr>
            <w:noProof/>
            <w:webHidden/>
          </w:rPr>
          <w:fldChar w:fldCharType="begin"/>
        </w:r>
        <w:r w:rsidR="00106E74">
          <w:rPr>
            <w:noProof/>
            <w:webHidden/>
          </w:rPr>
          <w:instrText xml:space="preserve"> PAGEREF _Toc84341430 \h </w:instrText>
        </w:r>
        <w:r w:rsidR="00106E74">
          <w:rPr>
            <w:noProof/>
            <w:webHidden/>
          </w:rPr>
        </w:r>
        <w:r w:rsidR="00106E74">
          <w:rPr>
            <w:noProof/>
            <w:webHidden/>
          </w:rPr>
          <w:fldChar w:fldCharType="separate"/>
        </w:r>
        <w:r w:rsidR="00106E74">
          <w:rPr>
            <w:noProof/>
            <w:webHidden/>
          </w:rPr>
          <w:t>3</w:t>
        </w:r>
        <w:r w:rsidR="00106E74">
          <w:rPr>
            <w:noProof/>
            <w:webHidden/>
          </w:rPr>
          <w:fldChar w:fldCharType="end"/>
        </w:r>
      </w:hyperlink>
    </w:p>
    <w:p w14:paraId="551D1EF3" w14:textId="11BDFD15" w:rsidR="00106E74" w:rsidRDefault="00106E74" w:rsidP="00106E74">
      <w:pPr>
        <w:tabs>
          <w:tab w:val="left" w:pos="567"/>
          <w:tab w:val="left" w:pos="8505"/>
        </w:tabs>
        <w:ind w:left="567" w:right="527" w:hanging="567"/>
        <w:rPr>
          <w:szCs w:val="24"/>
        </w:rPr>
      </w:pPr>
      <w:r>
        <w:rPr>
          <w:szCs w:val="24"/>
        </w:rPr>
        <w:fldChar w:fldCharType="end"/>
      </w:r>
    </w:p>
    <w:p w14:paraId="00457BC2" w14:textId="04A96632" w:rsidR="00106E74" w:rsidRDefault="00106E74" w:rsidP="008D0512">
      <w:pPr>
        <w:tabs>
          <w:tab w:val="left" w:pos="8505"/>
        </w:tabs>
        <w:ind w:right="527"/>
        <w:rPr>
          <w:szCs w:val="24"/>
        </w:rPr>
      </w:pPr>
    </w:p>
    <w:p w14:paraId="71C23FCA" w14:textId="4416165D" w:rsidR="00106E74" w:rsidRDefault="00106E74" w:rsidP="008D0512">
      <w:pPr>
        <w:tabs>
          <w:tab w:val="left" w:pos="8505"/>
        </w:tabs>
        <w:ind w:right="527"/>
        <w:rPr>
          <w:szCs w:val="24"/>
        </w:rPr>
      </w:pPr>
    </w:p>
    <w:p w14:paraId="1E64C9B9" w14:textId="77777777" w:rsidR="00106E74" w:rsidRPr="00CF5F17" w:rsidRDefault="00106E74" w:rsidP="008D0512">
      <w:pPr>
        <w:tabs>
          <w:tab w:val="left" w:pos="8505"/>
        </w:tabs>
        <w:ind w:right="527"/>
        <w:rPr>
          <w:szCs w:val="24"/>
        </w:rPr>
      </w:pPr>
    </w:p>
    <w:p w14:paraId="3A69FE70" w14:textId="77777777" w:rsidR="00106E74" w:rsidRDefault="00106E74">
      <w:pPr>
        <w:spacing w:after="160" w:line="259" w:lineRule="auto"/>
        <w:ind w:left="0" w:right="0" w:firstLine="0"/>
        <w:rPr>
          <w:rFonts w:eastAsiaTheme="majorEastAsia" w:cstheme="majorBidi"/>
          <w:b/>
          <w:color w:val="auto"/>
          <w:szCs w:val="32"/>
          <w:lang w:eastAsia="en-US"/>
        </w:rPr>
      </w:pPr>
      <w:r>
        <w:br w:type="page"/>
      </w:r>
    </w:p>
    <w:p w14:paraId="5356E11B" w14:textId="1B9B932E" w:rsidR="008D0512" w:rsidRDefault="008D0512" w:rsidP="008D0512">
      <w:pPr>
        <w:pStyle w:val="Heading1"/>
      </w:pPr>
      <w:bookmarkStart w:id="0" w:name="_Toc84341427"/>
      <w:r w:rsidRPr="00CF5F17">
        <w:lastRenderedPageBreak/>
        <w:t xml:space="preserve">1. </w:t>
      </w:r>
      <w:r w:rsidRPr="00CF5F17">
        <w:tab/>
      </w:r>
      <w:r>
        <w:t>Introduction</w:t>
      </w:r>
      <w:bookmarkEnd w:id="0"/>
    </w:p>
    <w:p w14:paraId="4706B228" w14:textId="77777777" w:rsidR="008D0512" w:rsidRPr="00CF5F17" w:rsidRDefault="008D0512" w:rsidP="008D0512">
      <w:pPr>
        <w:tabs>
          <w:tab w:val="left" w:pos="8505"/>
        </w:tabs>
        <w:ind w:left="551" w:right="527" w:hanging="566"/>
        <w:rPr>
          <w:szCs w:val="24"/>
        </w:rPr>
      </w:pPr>
      <w:r>
        <w:rPr>
          <w:szCs w:val="24"/>
        </w:rPr>
        <w:tab/>
      </w:r>
      <w:r w:rsidRPr="00CF5F17">
        <w:rPr>
          <w:szCs w:val="24"/>
        </w:rPr>
        <w:t>The University acknowledges that practice research is a distinctive feature of research in the arts. This section of the Code of Practice sets out the requirements for Schools</w:t>
      </w:r>
      <w:r>
        <w:rPr>
          <w:szCs w:val="24"/>
        </w:rPr>
        <w:t>/Divisions</w:t>
      </w:r>
      <w:r w:rsidRPr="00CF5F17">
        <w:rPr>
          <w:szCs w:val="24"/>
        </w:rPr>
        <w:t xml:space="preserve"> wishing to establish research </w:t>
      </w:r>
      <w:r>
        <w:rPr>
          <w:szCs w:val="24"/>
        </w:rPr>
        <w:t>course</w:t>
      </w:r>
      <w:r w:rsidRPr="00CF5F17">
        <w:rPr>
          <w:szCs w:val="24"/>
        </w:rPr>
        <w:t xml:space="preserve">s of study that rely in whole or in part on practice research.  </w:t>
      </w:r>
    </w:p>
    <w:p w14:paraId="66ED9134" w14:textId="77777777" w:rsidR="008D0512" w:rsidRPr="00CF5F17" w:rsidRDefault="008D0512" w:rsidP="008D0512">
      <w:pPr>
        <w:tabs>
          <w:tab w:val="left" w:pos="8505"/>
        </w:tabs>
        <w:ind w:left="0" w:right="527" w:firstLine="0"/>
        <w:rPr>
          <w:szCs w:val="24"/>
        </w:rPr>
      </w:pPr>
      <w:r w:rsidRPr="00CF5F17">
        <w:rPr>
          <w:szCs w:val="24"/>
        </w:rPr>
        <w:t xml:space="preserve"> </w:t>
      </w:r>
    </w:p>
    <w:p w14:paraId="42E86E94" w14:textId="77777777" w:rsidR="008D0512" w:rsidRPr="00CF5F17" w:rsidRDefault="008D0512" w:rsidP="008D0512">
      <w:pPr>
        <w:pStyle w:val="Heading1"/>
      </w:pPr>
      <w:bookmarkStart w:id="1" w:name="_Toc84341428"/>
      <w:r w:rsidRPr="00CF5F17">
        <w:t xml:space="preserve">2. </w:t>
      </w:r>
      <w:r w:rsidRPr="00CF5F17">
        <w:tab/>
        <w:t>Course Approval</w:t>
      </w:r>
      <w:bookmarkEnd w:id="1"/>
      <w:r w:rsidRPr="00CF5F17">
        <w:t xml:space="preserve"> </w:t>
      </w:r>
    </w:p>
    <w:p w14:paraId="69E6F2D0" w14:textId="29DB2418" w:rsidR="008D0512" w:rsidRPr="00CF5F17" w:rsidRDefault="008D0512" w:rsidP="008D0512">
      <w:pPr>
        <w:tabs>
          <w:tab w:val="left" w:pos="8505"/>
        </w:tabs>
        <w:ind w:left="551" w:right="527" w:hanging="566"/>
        <w:rPr>
          <w:szCs w:val="24"/>
        </w:rPr>
      </w:pPr>
      <w:r w:rsidRPr="00CF5F17">
        <w:rPr>
          <w:szCs w:val="24"/>
        </w:rPr>
        <w:t xml:space="preserve">2.1. </w:t>
      </w:r>
      <w:r w:rsidRPr="00CF5F17">
        <w:rPr>
          <w:szCs w:val="24"/>
        </w:rPr>
        <w:tab/>
        <w:t xml:space="preserve">Courses incorporating practice research must be approved in accordance with </w:t>
      </w:r>
      <w:hyperlink r:id="rId10" w:anchor="annex-b" w:history="1">
        <w:r w:rsidRPr="00BB2854">
          <w:rPr>
            <w:rStyle w:val="Hyperlink"/>
            <w:szCs w:val="24"/>
          </w:rPr>
          <w:t>Annex</w:t>
        </w:r>
        <w:r w:rsidRPr="00BB2854">
          <w:rPr>
            <w:rStyle w:val="Hyperlink"/>
            <w:szCs w:val="24"/>
          </w:rPr>
          <w:t xml:space="preserve"> </w:t>
        </w:r>
        <w:r w:rsidRPr="00BB2854">
          <w:rPr>
            <w:rStyle w:val="Hyperlink"/>
            <w:szCs w:val="24"/>
          </w:rPr>
          <w:t>B</w:t>
        </w:r>
      </w:hyperlink>
      <w:r w:rsidRPr="00CF5F17">
        <w:rPr>
          <w:szCs w:val="24"/>
        </w:rPr>
        <w:t xml:space="preserve"> of this Code of Practice. </w:t>
      </w:r>
    </w:p>
    <w:p w14:paraId="5BFE079A" w14:textId="77777777" w:rsidR="008D0512" w:rsidRPr="00CF5F17" w:rsidRDefault="008D0512" w:rsidP="008D0512">
      <w:pPr>
        <w:tabs>
          <w:tab w:val="left" w:pos="8505"/>
        </w:tabs>
        <w:ind w:left="551" w:right="527" w:hanging="566"/>
        <w:rPr>
          <w:szCs w:val="24"/>
        </w:rPr>
      </w:pPr>
      <w:r w:rsidRPr="00CF5F17">
        <w:rPr>
          <w:szCs w:val="24"/>
        </w:rPr>
        <w:t xml:space="preserve">2.2. </w:t>
      </w:r>
      <w:r w:rsidRPr="00CF5F17">
        <w:rPr>
          <w:szCs w:val="24"/>
        </w:rPr>
        <w:tab/>
        <w:t xml:space="preserve">Submissions to the </w:t>
      </w:r>
      <w:r>
        <w:rPr>
          <w:szCs w:val="24"/>
        </w:rPr>
        <w:t>Course Approval Sub-committee (C</w:t>
      </w:r>
      <w:r w:rsidRPr="00CF5F17">
        <w:rPr>
          <w:szCs w:val="24"/>
        </w:rPr>
        <w:t xml:space="preserve">ASC) for the approval of </w:t>
      </w:r>
      <w:r>
        <w:rPr>
          <w:szCs w:val="24"/>
        </w:rPr>
        <w:t>course</w:t>
      </w:r>
      <w:r w:rsidRPr="00CF5F17">
        <w:rPr>
          <w:szCs w:val="24"/>
        </w:rPr>
        <w:t xml:space="preserve">s of study that rely in whole or in part on practice research must additionally evidence delivering </w:t>
      </w:r>
      <w:r>
        <w:rPr>
          <w:szCs w:val="24"/>
        </w:rPr>
        <w:t xml:space="preserve">the </w:t>
      </w:r>
      <w:r w:rsidRPr="00CF5F17">
        <w:rPr>
          <w:szCs w:val="24"/>
        </w:rPr>
        <w:t xml:space="preserve">School’s commitment, resources and expertise in the following areas: </w:t>
      </w:r>
    </w:p>
    <w:p w14:paraId="3B768A51" w14:textId="77777777" w:rsidR="008D0512" w:rsidRPr="00CF5F17" w:rsidRDefault="008D0512" w:rsidP="008D0512">
      <w:pPr>
        <w:tabs>
          <w:tab w:val="left" w:pos="851"/>
          <w:tab w:val="center" w:pos="4080"/>
          <w:tab w:val="left" w:pos="8505"/>
        </w:tabs>
        <w:ind w:left="-15" w:right="527" w:firstLine="0"/>
        <w:rPr>
          <w:szCs w:val="24"/>
        </w:rPr>
      </w:pPr>
      <w:r w:rsidRPr="00CF5F17">
        <w:rPr>
          <w:szCs w:val="24"/>
        </w:rPr>
        <w:t xml:space="preserve">2.2.1. </w:t>
      </w:r>
      <w:r w:rsidRPr="00CF5F17">
        <w:rPr>
          <w:szCs w:val="24"/>
        </w:rPr>
        <w:tab/>
        <w:t xml:space="preserve">The distinct practices of practice research within their own subject. </w:t>
      </w:r>
    </w:p>
    <w:p w14:paraId="4DA52A6E" w14:textId="77777777" w:rsidR="008D0512" w:rsidRPr="00CF5F17" w:rsidRDefault="008D0512" w:rsidP="008D0512">
      <w:pPr>
        <w:tabs>
          <w:tab w:val="left" w:pos="851"/>
          <w:tab w:val="center" w:pos="2777"/>
          <w:tab w:val="left" w:pos="8505"/>
        </w:tabs>
        <w:ind w:left="-15" w:right="527" w:firstLine="0"/>
        <w:rPr>
          <w:szCs w:val="24"/>
        </w:rPr>
      </w:pPr>
      <w:r w:rsidRPr="00CF5F17">
        <w:rPr>
          <w:szCs w:val="24"/>
        </w:rPr>
        <w:t xml:space="preserve">2.2.2. </w:t>
      </w:r>
      <w:r w:rsidRPr="00CF5F17">
        <w:rPr>
          <w:szCs w:val="24"/>
        </w:rPr>
        <w:tab/>
        <w:t xml:space="preserve">Ongoing staff practice research activity. </w:t>
      </w:r>
    </w:p>
    <w:p w14:paraId="5459921B" w14:textId="77777777" w:rsidR="008D0512" w:rsidRPr="00CF5F17" w:rsidRDefault="008D0512" w:rsidP="008D0512">
      <w:pPr>
        <w:tabs>
          <w:tab w:val="left" w:pos="851"/>
          <w:tab w:val="left" w:pos="8505"/>
        </w:tabs>
        <w:ind w:left="847" w:right="527"/>
        <w:rPr>
          <w:szCs w:val="24"/>
        </w:rPr>
      </w:pPr>
      <w:r w:rsidRPr="00CF5F17">
        <w:rPr>
          <w:szCs w:val="24"/>
        </w:rPr>
        <w:t xml:space="preserve">2.2.3. </w:t>
      </w:r>
      <w:r w:rsidRPr="00CF5F17">
        <w:rPr>
          <w:szCs w:val="24"/>
        </w:rPr>
        <w:tab/>
        <w:t xml:space="preserve">Student research training in the area of practice research, to include sessions on the relationship between practice and theory and the documentation of practice research. </w:t>
      </w:r>
    </w:p>
    <w:p w14:paraId="0B46EEFA" w14:textId="1A6BB6E0" w:rsidR="008D0512" w:rsidRPr="00CF5F17" w:rsidRDefault="008D0512" w:rsidP="008D0512">
      <w:pPr>
        <w:tabs>
          <w:tab w:val="left" w:pos="8505"/>
        </w:tabs>
        <w:ind w:left="567" w:right="527" w:hanging="567"/>
        <w:rPr>
          <w:szCs w:val="24"/>
        </w:rPr>
      </w:pPr>
      <w:r w:rsidRPr="00CF5F17">
        <w:rPr>
          <w:szCs w:val="24"/>
        </w:rPr>
        <w:t xml:space="preserve">2.3. </w:t>
      </w:r>
      <w:r w:rsidRPr="00CF5F17">
        <w:rPr>
          <w:szCs w:val="24"/>
        </w:rPr>
        <w:tab/>
        <w:t xml:space="preserve">Courses of study which rely in whole or in part on practice research must operate a system of team supervision (in accordance with </w:t>
      </w:r>
      <w:hyperlink r:id="rId11" w:anchor="annexh" w:history="1">
        <w:r w:rsidRPr="002E733E">
          <w:rPr>
            <w:rStyle w:val="Hyperlink"/>
            <w:szCs w:val="24"/>
          </w:rPr>
          <w:t>Anne</w:t>
        </w:r>
        <w:r w:rsidRPr="002E733E">
          <w:rPr>
            <w:rStyle w:val="Hyperlink"/>
            <w:szCs w:val="24"/>
          </w:rPr>
          <w:t>x</w:t>
        </w:r>
        <w:r w:rsidRPr="002E733E">
          <w:rPr>
            <w:rStyle w:val="Hyperlink"/>
            <w:szCs w:val="24"/>
          </w:rPr>
          <w:t xml:space="preserve"> H</w:t>
        </w:r>
      </w:hyperlink>
      <w:r w:rsidRPr="00CF5F17">
        <w:rPr>
          <w:szCs w:val="24"/>
        </w:rPr>
        <w:t xml:space="preserve"> of this Code of Practice). </w:t>
      </w:r>
    </w:p>
    <w:p w14:paraId="3B4AA624" w14:textId="77777777" w:rsidR="008D0512" w:rsidRPr="00CF5F17" w:rsidRDefault="008D0512" w:rsidP="008D0512">
      <w:pPr>
        <w:tabs>
          <w:tab w:val="left" w:pos="8505"/>
        </w:tabs>
        <w:ind w:left="551" w:right="527" w:hanging="566"/>
        <w:rPr>
          <w:szCs w:val="24"/>
        </w:rPr>
      </w:pPr>
      <w:r w:rsidRPr="00CF5F17">
        <w:rPr>
          <w:szCs w:val="24"/>
        </w:rPr>
        <w:t xml:space="preserve">2.4. </w:t>
      </w:r>
      <w:r w:rsidRPr="00CF5F17">
        <w:rPr>
          <w:szCs w:val="24"/>
        </w:rPr>
        <w:tab/>
        <w:t xml:space="preserve">Members of academic staff wishing to be approved as Supervisory Chairs on courses of study that rely in whole or in part on practice research must be approved specifically to act on these </w:t>
      </w:r>
      <w:r>
        <w:rPr>
          <w:szCs w:val="24"/>
        </w:rPr>
        <w:t>course</w:t>
      </w:r>
      <w:r w:rsidRPr="00CF5F17">
        <w:rPr>
          <w:szCs w:val="24"/>
        </w:rPr>
        <w:t xml:space="preserve">s. Because of the particular challenges of this type of study, approval to act in this capacity on </w:t>
      </w:r>
      <w:r>
        <w:rPr>
          <w:szCs w:val="24"/>
        </w:rPr>
        <w:t>course</w:t>
      </w:r>
      <w:r w:rsidRPr="00CF5F17">
        <w:rPr>
          <w:szCs w:val="24"/>
        </w:rPr>
        <w:t xml:space="preserve">s that do not address practice research should not be regarded in itself as an adequate criterion for approval. </w:t>
      </w:r>
    </w:p>
    <w:p w14:paraId="39D48B32" w14:textId="77777777" w:rsidR="008D0512" w:rsidRPr="00CF5F17" w:rsidRDefault="008D0512" w:rsidP="008D0512">
      <w:pPr>
        <w:tabs>
          <w:tab w:val="left" w:pos="8505"/>
        </w:tabs>
        <w:ind w:left="360" w:right="527" w:firstLine="0"/>
        <w:rPr>
          <w:szCs w:val="24"/>
        </w:rPr>
      </w:pPr>
      <w:r w:rsidRPr="00CF5F17">
        <w:rPr>
          <w:szCs w:val="24"/>
        </w:rPr>
        <w:t xml:space="preserve"> </w:t>
      </w:r>
    </w:p>
    <w:p w14:paraId="29ECC805" w14:textId="77777777" w:rsidR="008D0512" w:rsidRPr="00CF5F17" w:rsidRDefault="008D0512" w:rsidP="008D0512">
      <w:pPr>
        <w:pStyle w:val="Heading1"/>
      </w:pPr>
      <w:bookmarkStart w:id="2" w:name="_Toc84341429"/>
      <w:r w:rsidRPr="00CF5F17">
        <w:t xml:space="preserve">3. </w:t>
      </w:r>
      <w:r w:rsidRPr="00CF5F17">
        <w:tab/>
        <w:t>Student Support</w:t>
      </w:r>
      <w:bookmarkEnd w:id="2"/>
      <w:r w:rsidRPr="00CF5F17">
        <w:t xml:space="preserve"> </w:t>
      </w:r>
    </w:p>
    <w:p w14:paraId="7BC22CE6" w14:textId="77777777" w:rsidR="008D0512" w:rsidRPr="00CF5F17" w:rsidRDefault="008D0512" w:rsidP="008D0512">
      <w:pPr>
        <w:tabs>
          <w:tab w:val="left" w:pos="8505"/>
        </w:tabs>
        <w:ind w:left="567" w:right="527" w:hanging="567"/>
        <w:rPr>
          <w:szCs w:val="24"/>
        </w:rPr>
      </w:pPr>
      <w:r w:rsidRPr="00CF5F17">
        <w:rPr>
          <w:szCs w:val="24"/>
        </w:rPr>
        <w:t xml:space="preserve">3.1. </w:t>
      </w:r>
      <w:r w:rsidRPr="00CF5F17">
        <w:rPr>
          <w:szCs w:val="24"/>
        </w:rPr>
        <w:tab/>
        <w:t xml:space="preserve">Schools offering research </w:t>
      </w:r>
      <w:r>
        <w:rPr>
          <w:szCs w:val="24"/>
        </w:rPr>
        <w:t>course</w:t>
      </w:r>
      <w:r w:rsidRPr="00CF5F17">
        <w:rPr>
          <w:szCs w:val="24"/>
        </w:rPr>
        <w:t xml:space="preserve">s of study which rely in whole or in part on practice research must offer specific guidance and support to students. </w:t>
      </w:r>
    </w:p>
    <w:p w14:paraId="63415F86" w14:textId="77777777" w:rsidR="008D0512" w:rsidRPr="00CF5F17" w:rsidRDefault="008D0512" w:rsidP="008D0512">
      <w:pPr>
        <w:tabs>
          <w:tab w:val="left" w:pos="8505"/>
        </w:tabs>
        <w:ind w:left="851" w:right="527" w:hanging="866"/>
        <w:rPr>
          <w:szCs w:val="24"/>
        </w:rPr>
      </w:pPr>
      <w:r w:rsidRPr="003724D9">
        <w:rPr>
          <w:szCs w:val="24"/>
        </w:rPr>
        <w:t xml:space="preserve">3.1.1. </w:t>
      </w:r>
      <w:r w:rsidRPr="00CF5F17">
        <w:rPr>
          <w:szCs w:val="24"/>
        </w:rPr>
        <w:tab/>
        <w:t xml:space="preserve">Schools must ensure that there exist appropriate physical and financial resources to support the students’ practice. </w:t>
      </w:r>
    </w:p>
    <w:p w14:paraId="5DFA8E24" w14:textId="77777777" w:rsidR="008D0512" w:rsidRPr="00CF5F17" w:rsidRDefault="008D0512" w:rsidP="008D0512">
      <w:pPr>
        <w:tabs>
          <w:tab w:val="left" w:pos="8505"/>
        </w:tabs>
        <w:ind w:left="855" w:right="527" w:hanging="870"/>
        <w:rPr>
          <w:szCs w:val="24"/>
        </w:rPr>
      </w:pPr>
      <w:r w:rsidRPr="003724D9">
        <w:rPr>
          <w:szCs w:val="24"/>
        </w:rPr>
        <w:t xml:space="preserve">3.1.2. </w:t>
      </w:r>
      <w:r w:rsidRPr="00CF5F17">
        <w:rPr>
          <w:szCs w:val="24"/>
        </w:rPr>
        <w:tab/>
        <w:t xml:space="preserve">Schools must ensure that students receive appropriate training in the nature of practice research within the wider contexts of subject practice and of research as a whole. </w:t>
      </w:r>
    </w:p>
    <w:p w14:paraId="702BDB95" w14:textId="77777777" w:rsidR="008D0512" w:rsidRPr="00CF5F17" w:rsidRDefault="008D0512" w:rsidP="008D0512">
      <w:pPr>
        <w:tabs>
          <w:tab w:val="left" w:pos="8505"/>
        </w:tabs>
        <w:ind w:left="851" w:right="527" w:hanging="866"/>
        <w:rPr>
          <w:szCs w:val="24"/>
        </w:rPr>
      </w:pPr>
      <w:r w:rsidRPr="003724D9">
        <w:rPr>
          <w:szCs w:val="24"/>
        </w:rPr>
        <w:lastRenderedPageBreak/>
        <w:t xml:space="preserve">3.1.3. </w:t>
      </w:r>
      <w:r w:rsidRPr="00CF5F17">
        <w:rPr>
          <w:szCs w:val="24"/>
        </w:rPr>
        <w:tab/>
        <w:t xml:space="preserve">Schools must ensure that students have a clear understanding of the requirements of examination. The composition of the student’s thesis package must be agreed at an early stage in the student’s </w:t>
      </w:r>
      <w:r>
        <w:rPr>
          <w:szCs w:val="24"/>
        </w:rPr>
        <w:t>course</w:t>
      </w:r>
      <w:r w:rsidRPr="00CF5F17">
        <w:rPr>
          <w:szCs w:val="24"/>
        </w:rPr>
        <w:t xml:space="preserve"> of study. </w:t>
      </w:r>
    </w:p>
    <w:p w14:paraId="5D93E188" w14:textId="77777777" w:rsidR="008D0512" w:rsidRPr="00CF5F17" w:rsidRDefault="008D0512" w:rsidP="008D0512">
      <w:pPr>
        <w:tabs>
          <w:tab w:val="left" w:pos="8505"/>
        </w:tabs>
        <w:ind w:left="851" w:right="527" w:hanging="866"/>
        <w:rPr>
          <w:szCs w:val="24"/>
        </w:rPr>
      </w:pPr>
      <w:r w:rsidRPr="003724D9">
        <w:rPr>
          <w:szCs w:val="24"/>
        </w:rPr>
        <w:t xml:space="preserve">3.1.4. </w:t>
      </w:r>
      <w:r>
        <w:rPr>
          <w:szCs w:val="24"/>
        </w:rPr>
        <w:tab/>
      </w:r>
      <w:r w:rsidRPr="00CF5F17">
        <w:rPr>
          <w:szCs w:val="24"/>
        </w:rPr>
        <w:t xml:space="preserve">Schools must ensure that students receive appropriate training in the documentation of practice, and that there exist appropriate resources to support their work in this area.      </w:t>
      </w:r>
    </w:p>
    <w:p w14:paraId="0D4008BC" w14:textId="77777777" w:rsidR="008D0512" w:rsidRPr="00CF5F17" w:rsidRDefault="008D0512" w:rsidP="008D0512">
      <w:pPr>
        <w:tabs>
          <w:tab w:val="left" w:pos="8505"/>
        </w:tabs>
        <w:ind w:left="794" w:right="527" w:firstLine="0"/>
        <w:rPr>
          <w:szCs w:val="24"/>
        </w:rPr>
      </w:pPr>
      <w:r w:rsidRPr="00CF5F17">
        <w:rPr>
          <w:szCs w:val="24"/>
        </w:rPr>
        <w:t xml:space="preserve"> </w:t>
      </w:r>
    </w:p>
    <w:p w14:paraId="6C9BBE1B" w14:textId="77777777" w:rsidR="008D0512" w:rsidRPr="00CF5F17" w:rsidRDefault="008D0512" w:rsidP="008D0512">
      <w:pPr>
        <w:pStyle w:val="Heading1"/>
      </w:pPr>
      <w:bookmarkStart w:id="3" w:name="_Toc84341430"/>
      <w:r w:rsidRPr="00CF5F17">
        <w:t>4.</w:t>
      </w:r>
      <w:r w:rsidRPr="00CF5F17">
        <w:tab/>
        <w:t>Research Output</w:t>
      </w:r>
      <w:bookmarkEnd w:id="3"/>
      <w:r w:rsidRPr="00CF5F17">
        <w:t xml:space="preserve"> </w:t>
      </w:r>
    </w:p>
    <w:p w14:paraId="2DD8F949" w14:textId="77777777" w:rsidR="008D0512" w:rsidRPr="00CF5F17" w:rsidRDefault="008D0512" w:rsidP="008D0512">
      <w:pPr>
        <w:tabs>
          <w:tab w:val="left" w:pos="567"/>
          <w:tab w:val="left" w:pos="8505"/>
        </w:tabs>
        <w:ind w:left="-15" w:right="527" w:firstLine="0"/>
        <w:rPr>
          <w:szCs w:val="24"/>
        </w:rPr>
      </w:pPr>
      <w:r w:rsidRPr="00CF5F17">
        <w:rPr>
          <w:szCs w:val="24"/>
        </w:rPr>
        <w:t xml:space="preserve">4.1. </w:t>
      </w:r>
      <w:r w:rsidRPr="00CF5F17">
        <w:rPr>
          <w:szCs w:val="24"/>
        </w:rPr>
        <w:tab/>
        <w:t xml:space="preserve">The University does not privilege any one type of research over any other. </w:t>
      </w:r>
    </w:p>
    <w:p w14:paraId="77E03983" w14:textId="77777777" w:rsidR="008D0512" w:rsidRPr="00CF5F17" w:rsidRDefault="008D0512" w:rsidP="008D0512">
      <w:pPr>
        <w:tabs>
          <w:tab w:val="left" w:pos="8505"/>
        </w:tabs>
        <w:ind w:left="847" w:right="527"/>
        <w:rPr>
          <w:szCs w:val="24"/>
        </w:rPr>
      </w:pPr>
      <w:r w:rsidRPr="003724D9">
        <w:rPr>
          <w:szCs w:val="24"/>
        </w:rPr>
        <w:t>4.1.1</w:t>
      </w:r>
      <w:r w:rsidRPr="00CF5F17">
        <w:rPr>
          <w:szCs w:val="24"/>
        </w:rPr>
        <w:t xml:space="preserve">. </w:t>
      </w:r>
      <w:r w:rsidRPr="00CF5F17">
        <w:rPr>
          <w:szCs w:val="24"/>
        </w:rPr>
        <w:tab/>
        <w:t xml:space="preserve">For the purposes of examination, practice research will be treated in the same way as written submissions. Where the practice submission is intended to be experienced by a live audience, the examination must be under the intended conditions. </w:t>
      </w:r>
    </w:p>
    <w:p w14:paraId="700B482E" w14:textId="77777777" w:rsidR="008D0512" w:rsidRPr="00CF5F17" w:rsidRDefault="008D0512" w:rsidP="008D0512">
      <w:pPr>
        <w:tabs>
          <w:tab w:val="left" w:pos="8505"/>
        </w:tabs>
        <w:ind w:left="847" w:right="527"/>
        <w:rPr>
          <w:szCs w:val="24"/>
        </w:rPr>
      </w:pPr>
      <w:r w:rsidRPr="003724D9">
        <w:rPr>
          <w:szCs w:val="24"/>
        </w:rPr>
        <w:t xml:space="preserve">4.1.2. </w:t>
      </w:r>
      <w:r w:rsidRPr="00CF5F17">
        <w:rPr>
          <w:szCs w:val="24"/>
        </w:rPr>
        <w:tab/>
        <w:t xml:space="preserve">Practice research will be subject to the criteria for assessment for research degrees published by the University.  </w:t>
      </w:r>
    </w:p>
    <w:p w14:paraId="7BDCF4A2" w14:textId="77777777" w:rsidR="008D0512" w:rsidRPr="00CF5F17" w:rsidRDefault="008D0512" w:rsidP="008D0512">
      <w:pPr>
        <w:tabs>
          <w:tab w:val="left" w:pos="8505"/>
        </w:tabs>
        <w:ind w:left="551" w:right="527" w:hanging="566"/>
        <w:rPr>
          <w:szCs w:val="24"/>
        </w:rPr>
      </w:pPr>
      <w:r w:rsidRPr="00CF5F17">
        <w:rPr>
          <w:szCs w:val="24"/>
        </w:rPr>
        <w:t xml:space="preserve">4.2. </w:t>
      </w:r>
      <w:r w:rsidRPr="00CF5F17">
        <w:rPr>
          <w:szCs w:val="24"/>
        </w:rPr>
        <w:tab/>
        <w:t>It is the expectation of the University that all examined research lead</w:t>
      </w:r>
      <w:r>
        <w:rPr>
          <w:szCs w:val="24"/>
        </w:rPr>
        <w:t xml:space="preserve">ing </w:t>
      </w:r>
      <w:r w:rsidRPr="00CF5F17">
        <w:rPr>
          <w:szCs w:val="24"/>
        </w:rPr>
        <w:t xml:space="preserve">to the award of a degree be both accessible and </w:t>
      </w:r>
      <w:r>
        <w:rPr>
          <w:szCs w:val="24"/>
        </w:rPr>
        <w:t xml:space="preserve">able to be </w:t>
      </w:r>
      <w:r w:rsidRPr="00CF5F17">
        <w:rPr>
          <w:szCs w:val="24"/>
        </w:rPr>
        <w:t>archiv</w:t>
      </w:r>
      <w:r>
        <w:rPr>
          <w:szCs w:val="24"/>
        </w:rPr>
        <w:t>ed</w:t>
      </w:r>
      <w:r w:rsidRPr="00CF5F17">
        <w:rPr>
          <w:szCs w:val="24"/>
        </w:rPr>
        <w:t xml:space="preserve">. </w:t>
      </w:r>
    </w:p>
    <w:p w14:paraId="66A1E8A7" w14:textId="77777777" w:rsidR="008D0512" w:rsidRPr="00CF5F17" w:rsidRDefault="008D0512" w:rsidP="008D0512">
      <w:pPr>
        <w:tabs>
          <w:tab w:val="left" w:pos="8505"/>
        </w:tabs>
        <w:ind w:left="847" w:right="527"/>
        <w:rPr>
          <w:szCs w:val="24"/>
        </w:rPr>
      </w:pPr>
      <w:r w:rsidRPr="003724D9">
        <w:rPr>
          <w:szCs w:val="24"/>
        </w:rPr>
        <w:t>4.2.1</w:t>
      </w:r>
      <w:r w:rsidRPr="00CF5F17">
        <w:rPr>
          <w:szCs w:val="24"/>
        </w:rPr>
        <w:t xml:space="preserve">. </w:t>
      </w:r>
      <w:r w:rsidRPr="00CF5F17">
        <w:rPr>
          <w:szCs w:val="24"/>
        </w:rPr>
        <w:tab/>
        <w:t xml:space="preserve">It is likely that in order to address issues of accessibility and to demonstrate achievement of some criteria of assessment, submissions of practice research will need to be supported by a written submission. This written submission may take the form of a statement, commentary, analysis, methodology or a more substantial theoretical discourse. </w:t>
      </w:r>
    </w:p>
    <w:p w14:paraId="6C674DF8" w14:textId="77777777" w:rsidR="008D0512" w:rsidRPr="00CF5F17" w:rsidRDefault="008D0512" w:rsidP="008D0512">
      <w:pPr>
        <w:tabs>
          <w:tab w:val="left" w:pos="8505"/>
        </w:tabs>
        <w:ind w:left="851" w:right="527" w:firstLine="0"/>
        <w:rPr>
          <w:szCs w:val="24"/>
        </w:rPr>
      </w:pPr>
      <w:r w:rsidRPr="00106E74">
        <w:rPr>
          <w:bCs/>
          <w:szCs w:val="24"/>
        </w:rPr>
        <w:t>Note:</w:t>
      </w:r>
      <w:r w:rsidRPr="00CF5F17">
        <w:rPr>
          <w:b/>
          <w:i/>
          <w:szCs w:val="24"/>
        </w:rPr>
        <w:t xml:space="preserve"> </w:t>
      </w:r>
      <w:r w:rsidRPr="00CF5F17">
        <w:rPr>
          <w:szCs w:val="24"/>
        </w:rPr>
        <w:t xml:space="preserve">submitted practice research must not in any way be quantified in terms of a proportion of a written submission, nor </w:t>
      </w:r>
      <w:r w:rsidRPr="00CF5F17">
        <w:rPr>
          <w:i/>
          <w:szCs w:val="24"/>
        </w:rPr>
        <w:t>vice versa</w:t>
      </w:r>
      <w:r w:rsidRPr="00CF5F17">
        <w:rPr>
          <w:szCs w:val="24"/>
        </w:rPr>
        <w:t xml:space="preserve"> unless there is an explicit statement in the </w:t>
      </w:r>
      <w:r>
        <w:rPr>
          <w:szCs w:val="24"/>
        </w:rPr>
        <w:t>course</w:t>
      </w:r>
      <w:r w:rsidRPr="00CF5F17">
        <w:rPr>
          <w:szCs w:val="24"/>
        </w:rPr>
        <w:t xml:space="preserve"> specification that submission will be by text and practice with a prescribed examination weighting. </w:t>
      </w:r>
    </w:p>
    <w:p w14:paraId="5227143C" w14:textId="5BA374B7" w:rsidR="008D0512" w:rsidRPr="00CF5F17" w:rsidRDefault="008D0512" w:rsidP="008D0512">
      <w:pPr>
        <w:tabs>
          <w:tab w:val="left" w:pos="8505"/>
        </w:tabs>
        <w:ind w:left="847" w:right="527"/>
        <w:rPr>
          <w:szCs w:val="24"/>
        </w:rPr>
      </w:pPr>
      <w:r w:rsidRPr="003724D9">
        <w:rPr>
          <w:szCs w:val="24"/>
        </w:rPr>
        <w:t>4.2.2</w:t>
      </w:r>
      <w:r w:rsidRPr="00CF5F17">
        <w:rPr>
          <w:szCs w:val="24"/>
        </w:rPr>
        <w:t xml:space="preserve">. </w:t>
      </w:r>
      <w:r w:rsidRPr="00CF5F17">
        <w:rPr>
          <w:szCs w:val="24"/>
        </w:rPr>
        <w:tab/>
        <w:t>The nature of the written submission should be agreed upon by the student, supervisory team and Divisional Director of Graduate Studies</w:t>
      </w:r>
      <w:r>
        <w:rPr>
          <w:szCs w:val="24"/>
        </w:rPr>
        <w:t xml:space="preserve"> and PG Student Experience</w:t>
      </w:r>
      <w:r w:rsidRPr="00CF5F17">
        <w:rPr>
          <w:szCs w:val="24"/>
        </w:rPr>
        <w:t xml:space="preserve"> or their nominee (see </w:t>
      </w:r>
      <w:hyperlink r:id="rId12" w:anchor="annexi" w:history="1">
        <w:r w:rsidRPr="00B36611">
          <w:rPr>
            <w:rStyle w:val="Hyperlink"/>
            <w:szCs w:val="24"/>
          </w:rPr>
          <w:t>Anne</w:t>
        </w:r>
        <w:r w:rsidRPr="00B36611">
          <w:rPr>
            <w:rStyle w:val="Hyperlink"/>
            <w:szCs w:val="24"/>
          </w:rPr>
          <w:t>x</w:t>
        </w:r>
        <w:r w:rsidRPr="00B36611">
          <w:rPr>
            <w:rStyle w:val="Hyperlink"/>
            <w:szCs w:val="24"/>
          </w:rPr>
          <w:t xml:space="preserve"> I</w:t>
        </w:r>
      </w:hyperlink>
      <w:r w:rsidRPr="00CF5F17">
        <w:rPr>
          <w:szCs w:val="24"/>
        </w:rPr>
        <w:t xml:space="preserve"> for clarification) early in the student’s period of registration. It is the expectation of the University that the composition of a student’s thesis package will be agreed on and recorded at or before the student’s probation review (see </w:t>
      </w:r>
      <w:hyperlink r:id="rId13" w:anchor="annexk" w:history="1">
        <w:r w:rsidRPr="00A3566F">
          <w:rPr>
            <w:rStyle w:val="Hyperlink"/>
            <w:szCs w:val="24"/>
          </w:rPr>
          <w:t>Annex</w:t>
        </w:r>
        <w:r w:rsidRPr="00A3566F">
          <w:rPr>
            <w:rStyle w:val="Hyperlink"/>
            <w:szCs w:val="24"/>
          </w:rPr>
          <w:t xml:space="preserve"> </w:t>
        </w:r>
        <w:r w:rsidRPr="00A3566F">
          <w:rPr>
            <w:rStyle w:val="Hyperlink"/>
            <w:szCs w:val="24"/>
          </w:rPr>
          <w:t>K</w:t>
        </w:r>
      </w:hyperlink>
      <w:r w:rsidRPr="00CF5F17">
        <w:rPr>
          <w:szCs w:val="24"/>
        </w:rPr>
        <w:t xml:space="preserve">) and reviewed alongside the student’s progress. </w:t>
      </w:r>
    </w:p>
    <w:p w14:paraId="4040266D" w14:textId="77777777" w:rsidR="008D0512" w:rsidRPr="00CF5F17" w:rsidRDefault="008D0512" w:rsidP="008D0512">
      <w:pPr>
        <w:tabs>
          <w:tab w:val="left" w:pos="8505"/>
        </w:tabs>
        <w:ind w:left="847" w:right="527"/>
        <w:rPr>
          <w:szCs w:val="24"/>
        </w:rPr>
      </w:pPr>
      <w:r w:rsidRPr="003724D9">
        <w:rPr>
          <w:szCs w:val="24"/>
        </w:rPr>
        <w:t xml:space="preserve">4.2.3. </w:t>
      </w:r>
      <w:r w:rsidRPr="00CF5F17">
        <w:rPr>
          <w:szCs w:val="24"/>
        </w:rPr>
        <w:tab/>
        <w:t xml:space="preserve">While the University acknowledges the importance of the conditions of reception of practice research, it is essential that students also submit </w:t>
      </w:r>
      <w:r w:rsidRPr="00CF5F17">
        <w:rPr>
          <w:szCs w:val="24"/>
        </w:rPr>
        <w:lastRenderedPageBreak/>
        <w:t xml:space="preserve">documentation of their practice, which can form an accessible and lasting record. Schools offering research </w:t>
      </w:r>
      <w:r>
        <w:rPr>
          <w:szCs w:val="24"/>
        </w:rPr>
        <w:t>course</w:t>
      </w:r>
      <w:r w:rsidRPr="00CF5F17">
        <w:rPr>
          <w:szCs w:val="24"/>
        </w:rPr>
        <w:t xml:space="preserve">s of study that rely in whole or in part on practice research must provide training, advice and resource in appropriate documentation techniques. </w:t>
      </w:r>
    </w:p>
    <w:p w14:paraId="780EFB43" w14:textId="6CCC5890" w:rsidR="008D0512" w:rsidRPr="00CF5F17" w:rsidRDefault="008D0512" w:rsidP="008D0512">
      <w:pPr>
        <w:tabs>
          <w:tab w:val="left" w:pos="8505"/>
        </w:tabs>
        <w:ind w:right="527"/>
        <w:rPr>
          <w:szCs w:val="24"/>
        </w:rPr>
      </w:pPr>
      <w:r w:rsidRPr="003724D9">
        <w:rPr>
          <w:szCs w:val="24"/>
        </w:rPr>
        <w:t>4.2.4</w:t>
      </w:r>
      <w:r w:rsidRPr="00CF5F17">
        <w:rPr>
          <w:szCs w:val="24"/>
        </w:rPr>
        <w:tab/>
        <w:t>In order to ensure that the documentation of practice research remains archivally secure, it is the expectation of the University that the record of practice research submitted for examination should be deposited in the Kent Academic Repository or Kent Data Repository and follow guidelines provided on t</w:t>
      </w:r>
      <w:r w:rsidRPr="00CF5F17">
        <w:rPr>
          <w:color w:val="auto"/>
          <w:szCs w:val="24"/>
        </w:rPr>
        <w:t xml:space="preserve">he </w:t>
      </w:r>
      <w:hyperlink r:id="rId14" w:history="1">
        <w:r w:rsidRPr="00007CF5">
          <w:rPr>
            <w:rStyle w:val="Hyperlink"/>
            <w:szCs w:val="24"/>
          </w:rPr>
          <w:t>Deposit you</w:t>
        </w:r>
        <w:r w:rsidRPr="00007CF5">
          <w:rPr>
            <w:rStyle w:val="Hyperlink"/>
            <w:szCs w:val="24"/>
          </w:rPr>
          <w:t>r</w:t>
        </w:r>
        <w:r w:rsidRPr="00007CF5">
          <w:rPr>
            <w:rStyle w:val="Hyperlink"/>
            <w:szCs w:val="24"/>
          </w:rPr>
          <w:t xml:space="preserve"> thesis webpage</w:t>
        </w:r>
      </w:hyperlink>
      <w:r w:rsidRPr="00CF5F17">
        <w:rPr>
          <w:color w:val="auto"/>
          <w:szCs w:val="24"/>
        </w:rPr>
        <w:t xml:space="preserve">. Further support and </w:t>
      </w:r>
      <w:r w:rsidRPr="00CF5F17">
        <w:rPr>
          <w:szCs w:val="24"/>
        </w:rPr>
        <w:t xml:space="preserve">advice is available for researchers. </w:t>
      </w:r>
    </w:p>
    <w:p w14:paraId="71CA271B" w14:textId="77777777" w:rsidR="008D0512" w:rsidRPr="00CF5F17" w:rsidRDefault="008D0512" w:rsidP="008D0512">
      <w:pPr>
        <w:tabs>
          <w:tab w:val="left" w:pos="8505"/>
        </w:tabs>
        <w:ind w:right="527"/>
        <w:rPr>
          <w:szCs w:val="24"/>
        </w:rPr>
      </w:pPr>
    </w:p>
    <w:p w14:paraId="734B3B0E" w14:textId="77777777" w:rsidR="002750C2" w:rsidRDefault="002750C2"/>
    <w:sectPr w:rsidR="002750C2" w:rsidSect="002750C2">
      <w:headerReference w:type="even" r:id="rId15"/>
      <w:headerReference w:type="default" r:id="rId16"/>
      <w:footerReference w:type="even" r:id="rId17"/>
      <w:footerReference w:type="default" r:id="rId18"/>
      <w:headerReference w:type="first" r:id="rId19"/>
      <w:footerReference w:type="first" r:id="rId20"/>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F3DD" w14:textId="77777777" w:rsidR="007D6451" w:rsidRDefault="007D6451" w:rsidP="002750C2">
      <w:pPr>
        <w:spacing w:after="0"/>
      </w:pPr>
      <w:r>
        <w:separator/>
      </w:r>
    </w:p>
  </w:endnote>
  <w:endnote w:type="continuationSeparator" w:id="0">
    <w:p w14:paraId="525FC3D9" w14:textId="77777777" w:rsidR="007D6451" w:rsidRDefault="007D6451" w:rsidP="0027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11CE" w14:textId="77777777" w:rsidR="003D6AFB" w:rsidRDefault="003D6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E0BA" w14:textId="0FAF480C" w:rsidR="002750C2" w:rsidRDefault="002750C2" w:rsidP="002750C2">
    <w:pPr>
      <w:pStyle w:val="Header"/>
      <w:rPr>
        <w:noProof/>
        <w:sz w:val="20"/>
      </w:rPr>
    </w:pPr>
  </w:p>
  <w:p w14:paraId="0E423DE7" w14:textId="77777777" w:rsidR="002750C2" w:rsidRPr="003D6AFB" w:rsidRDefault="002750C2" w:rsidP="002750C2">
    <w:pPr>
      <w:pStyle w:val="Header"/>
      <w:rPr>
        <w:rStyle w:val="eop"/>
        <w:rFonts w:ascii="Arial" w:hAnsi="Arial" w:cs="Arial"/>
        <w:sz w:val="20"/>
        <w:szCs w:val="20"/>
      </w:rPr>
    </w:pPr>
    <w:r w:rsidRPr="003D6AFB">
      <w:rPr>
        <w:rStyle w:val="normaltextrun"/>
        <w:rFonts w:ascii="Arial" w:hAnsi="Arial" w:cs="Arial"/>
        <w:sz w:val="20"/>
        <w:szCs w:val="20"/>
      </w:rPr>
      <w:t>Author: QACO</w:t>
    </w:r>
    <w:r w:rsidRPr="003D6AFB">
      <w:rPr>
        <w:rStyle w:val="eop"/>
        <w:rFonts w:ascii="Arial" w:hAnsi="Arial" w:cs="Arial"/>
        <w:sz w:val="20"/>
        <w:szCs w:val="20"/>
      </w:rPr>
      <w:t> </w:t>
    </w:r>
  </w:p>
  <w:p w14:paraId="351D008B" w14:textId="42697FC7" w:rsidR="00A43D38" w:rsidRPr="003D6AFB" w:rsidRDefault="00A43D38" w:rsidP="002750C2">
    <w:pPr>
      <w:pStyle w:val="Header"/>
      <w:rPr>
        <w:rFonts w:ascii="Arial" w:hAnsi="Arial" w:cs="Arial"/>
        <w:sz w:val="20"/>
        <w:szCs w:val="20"/>
      </w:rPr>
    </w:pPr>
    <w:r w:rsidRPr="003D6AFB">
      <w:rPr>
        <w:rStyle w:val="eop"/>
        <w:rFonts w:ascii="Arial" w:hAnsi="Arial" w:cs="Arial"/>
        <w:sz w:val="20"/>
        <w:szCs w:val="20"/>
      </w:rPr>
      <w:t>Applies to: 202</w:t>
    </w:r>
    <w:r w:rsidR="00BB2783" w:rsidRPr="003D6AFB">
      <w:rPr>
        <w:rStyle w:val="eop"/>
        <w:rFonts w:ascii="Arial" w:hAnsi="Arial" w:cs="Arial"/>
        <w:sz w:val="20"/>
        <w:szCs w:val="20"/>
      </w:rPr>
      <w:t>2</w:t>
    </w:r>
    <w:r w:rsidRPr="003D6AFB">
      <w:rPr>
        <w:rStyle w:val="eop"/>
        <w:rFonts w:ascii="Arial" w:hAnsi="Arial" w:cs="Arial"/>
        <w:sz w:val="20"/>
        <w:szCs w:val="20"/>
      </w:rPr>
      <w:t>/2</w:t>
    </w:r>
    <w:r w:rsidR="00BB2783" w:rsidRPr="003D6AFB">
      <w:rPr>
        <w:rStyle w:val="eop"/>
        <w:rFonts w:ascii="Arial" w:hAnsi="Arial" w:cs="Arial"/>
        <w:sz w:val="20"/>
        <w:szCs w:val="20"/>
      </w:rPr>
      <w:t>3</w:t>
    </w:r>
  </w:p>
  <w:p w14:paraId="1E4D83FD" w14:textId="460A444D" w:rsidR="002750C2" w:rsidRPr="003D6AFB" w:rsidRDefault="002750C2" w:rsidP="002750C2">
    <w:pPr>
      <w:pStyle w:val="paragraph"/>
      <w:spacing w:before="0" w:beforeAutospacing="0" w:after="0" w:afterAutospacing="0"/>
      <w:textAlignment w:val="baseline"/>
      <w:rPr>
        <w:rFonts w:ascii="Arial" w:hAnsi="Arial" w:cs="Arial"/>
        <w:color w:val="000000"/>
        <w:sz w:val="20"/>
        <w:szCs w:val="20"/>
      </w:rPr>
    </w:pPr>
    <w:r w:rsidRPr="003D6AFB">
      <w:rPr>
        <w:rStyle w:val="normaltextrun"/>
        <w:rFonts w:ascii="Arial" w:hAnsi="Arial" w:cs="Arial"/>
        <w:color w:val="000000"/>
        <w:sz w:val="20"/>
        <w:szCs w:val="20"/>
      </w:rPr>
      <w:t>Approved by Senate: September 2020</w:t>
    </w:r>
    <w:r w:rsidRPr="003D6AFB">
      <w:rPr>
        <w:rFonts w:ascii="Arial" w:hAnsi="Arial" w:cs="Arial"/>
        <w:color w:val="000000"/>
        <w:sz w:val="20"/>
        <w:szCs w:val="20"/>
        <w:lang w:val="en-US"/>
      </w:rPr>
      <w:br/>
    </w:r>
    <w:r w:rsidRPr="003D6AFB">
      <w:rPr>
        <w:rStyle w:val="normaltextrun"/>
        <w:rFonts w:ascii="Arial" w:hAnsi="Arial" w:cs="Arial"/>
        <w:color w:val="000000"/>
        <w:sz w:val="20"/>
        <w:szCs w:val="20"/>
      </w:rPr>
      <w:t xml:space="preserve">Last Revised: </w:t>
    </w:r>
    <w:r w:rsidR="003D6AFB" w:rsidRPr="003D6AFB">
      <w:rPr>
        <w:rFonts w:ascii="Arial" w:hAnsi="Arial" w:cs="Arial"/>
        <w:sz w:val="20"/>
        <w:szCs w:val="20"/>
      </w:rPr>
      <w:t>November 2023</w:t>
    </w:r>
  </w:p>
  <w:p w14:paraId="1ECD35D0" w14:textId="618CE642" w:rsidR="002750C2" w:rsidRPr="003D6AFB" w:rsidRDefault="002750C2" w:rsidP="002750C2">
    <w:pPr>
      <w:pStyle w:val="paragraph"/>
      <w:spacing w:before="0" w:beforeAutospacing="0" w:after="0" w:afterAutospacing="0"/>
      <w:textAlignment w:val="baseline"/>
      <w:rPr>
        <w:rFonts w:ascii="Arial" w:hAnsi="Arial" w:cs="Arial"/>
        <w:sz w:val="20"/>
        <w:szCs w:val="20"/>
        <w:lang w:val="en-US"/>
      </w:rPr>
    </w:pPr>
    <w:r w:rsidRPr="003D6AFB">
      <w:rPr>
        <w:rStyle w:val="normaltextrun"/>
        <w:rFonts w:ascii="Arial" w:hAnsi="Arial" w:cs="Arial"/>
        <w:color w:val="000000"/>
        <w:sz w:val="20"/>
        <w:szCs w:val="20"/>
      </w:rPr>
      <w:t>Next review: September 202</w:t>
    </w:r>
    <w:r w:rsidR="003D6AFB" w:rsidRPr="003D6AFB">
      <w:rPr>
        <w:rStyle w:val="normaltextrun"/>
        <w:rFonts w:ascii="Arial" w:hAnsi="Arial" w:cs="Arial"/>
        <w:color w:val="000000"/>
        <w:sz w:val="20"/>
        <w:szCs w:val="20"/>
      </w:rPr>
      <w:t>4</w:t>
    </w:r>
  </w:p>
  <w:p w14:paraId="4196292E" w14:textId="77777777" w:rsidR="002750C2" w:rsidRPr="008D0512" w:rsidRDefault="002750C2" w:rsidP="002750C2">
    <w:pPr>
      <w:pStyle w:val="Footer"/>
      <w:jc w:val="center"/>
      <w:rPr>
        <w:rFonts w:ascii="Arial" w:hAnsi="Arial" w:cs="Arial"/>
      </w:rPr>
    </w:pPr>
    <w:r w:rsidRPr="008D0512">
      <w:rPr>
        <w:rFonts w:ascii="Arial" w:hAnsi="Arial" w:cs="Arial"/>
        <w:sz w:val="20"/>
      </w:rPr>
      <w:t xml:space="preserve">Page </w:t>
    </w:r>
    <w:r w:rsidRPr="008D0512">
      <w:rPr>
        <w:rStyle w:val="PageNumber"/>
        <w:rFonts w:ascii="Arial" w:hAnsi="Arial" w:cs="Arial"/>
        <w:sz w:val="20"/>
      </w:rPr>
      <w:fldChar w:fldCharType="begin"/>
    </w:r>
    <w:r w:rsidRPr="008D0512">
      <w:rPr>
        <w:rStyle w:val="PageNumber"/>
        <w:rFonts w:ascii="Arial" w:hAnsi="Arial" w:cs="Arial"/>
        <w:sz w:val="20"/>
      </w:rPr>
      <w:instrText xml:space="preserve"> PAGE </w:instrText>
    </w:r>
    <w:r w:rsidRPr="008D0512">
      <w:rPr>
        <w:rStyle w:val="PageNumber"/>
        <w:rFonts w:ascii="Arial" w:hAnsi="Arial" w:cs="Arial"/>
        <w:sz w:val="20"/>
      </w:rPr>
      <w:fldChar w:fldCharType="separate"/>
    </w:r>
    <w:r w:rsidR="008D0512">
      <w:rPr>
        <w:rStyle w:val="PageNumber"/>
        <w:rFonts w:ascii="Arial" w:hAnsi="Arial" w:cs="Arial"/>
        <w:noProof/>
        <w:sz w:val="20"/>
      </w:rPr>
      <w:t>1</w:t>
    </w:r>
    <w:r w:rsidRPr="008D0512">
      <w:rPr>
        <w:rStyle w:val="PageNumber"/>
        <w:rFonts w:ascii="Arial" w:hAnsi="Arial" w:cs="Arial"/>
        <w:sz w:val="20"/>
      </w:rPr>
      <w:fldChar w:fldCharType="end"/>
    </w:r>
    <w:r w:rsidRPr="008D0512">
      <w:rPr>
        <w:rStyle w:val="PageNumber"/>
        <w:rFonts w:ascii="Arial" w:hAnsi="Arial" w:cs="Arial"/>
        <w:sz w:val="20"/>
      </w:rPr>
      <w:t xml:space="preserve"> of </w:t>
    </w:r>
    <w:r w:rsidRPr="008D0512">
      <w:rPr>
        <w:rStyle w:val="PageNumber"/>
        <w:rFonts w:ascii="Arial" w:hAnsi="Arial" w:cs="Arial"/>
        <w:sz w:val="20"/>
      </w:rPr>
      <w:fldChar w:fldCharType="begin"/>
    </w:r>
    <w:r w:rsidRPr="008D0512">
      <w:rPr>
        <w:rStyle w:val="PageNumber"/>
        <w:rFonts w:ascii="Arial" w:hAnsi="Arial" w:cs="Arial"/>
        <w:sz w:val="20"/>
      </w:rPr>
      <w:instrText xml:space="preserve"> NUMPAGES </w:instrText>
    </w:r>
    <w:r w:rsidRPr="008D0512">
      <w:rPr>
        <w:rStyle w:val="PageNumber"/>
        <w:rFonts w:ascii="Arial" w:hAnsi="Arial" w:cs="Arial"/>
        <w:sz w:val="20"/>
      </w:rPr>
      <w:fldChar w:fldCharType="separate"/>
    </w:r>
    <w:r w:rsidR="008D0512">
      <w:rPr>
        <w:rStyle w:val="PageNumber"/>
        <w:rFonts w:ascii="Arial" w:hAnsi="Arial" w:cs="Arial"/>
        <w:noProof/>
        <w:sz w:val="20"/>
      </w:rPr>
      <w:t>3</w:t>
    </w:r>
    <w:r w:rsidRPr="008D0512">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D3D5" w14:textId="77777777" w:rsidR="003D6AFB" w:rsidRDefault="003D6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A217" w14:textId="77777777" w:rsidR="007D6451" w:rsidRDefault="007D6451" w:rsidP="002750C2">
      <w:pPr>
        <w:spacing w:after="0"/>
      </w:pPr>
      <w:r>
        <w:separator/>
      </w:r>
    </w:p>
  </w:footnote>
  <w:footnote w:type="continuationSeparator" w:id="0">
    <w:p w14:paraId="2E092C52" w14:textId="77777777" w:rsidR="007D6451" w:rsidRDefault="007D6451" w:rsidP="002750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80FC" w14:textId="77777777" w:rsidR="003D6AFB" w:rsidRDefault="003D6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84E7" w14:textId="2A4B8924" w:rsidR="002750C2" w:rsidRDefault="00BB2783" w:rsidP="002750C2">
    <w:pPr>
      <w:pStyle w:val="Header"/>
      <w:jc w:val="right"/>
    </w:pPr>
    <w:r>
      <w:rPr>
        <w:noProof/>
      </w:rPr>
      <w:drawing>
        <wp:anchor distT="0" distB="0" distL="114300" distR="114300" simplePos="0" relativeHeight="251658240" behindDoc="0" locked="0" layoutInCell="1" allowOverlap="1" wp14:anchorId="2ED8ECB1" wp14:editId="36D67A71">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14:paraId="23F06F95" w14:textId="5D242501" w:rsidR="002750C2" w:rsidRPr="002750C2" w:rsidRDefault="002750C2" w:rsidP="002750C2">
    <w:pPr>
      <w:pStyle w:val="Header"/>
      <w:ind w:right="284"/>
      <w:jc w:val="center"/>
      <w:rPr>
        <w:rFonts w:ascii="Arial" w:hAnsi="Arial" w:cs="Arial"/>
        <w:b/>
        <w:sz w:val="24"/>
      </w:rPr>
    </w:pPr>
    <w:r w:rsidRPr="002750C2">
      <w:rPr>
        <w:rFonts w:ascii="Arial" w:hAnsi="Arial" w:cs="Arial"/>
        <w:b/>
        <w:sz w:val="24"/>
      </w:rPr>
      <w:t>Code of Practice for Quality Assurance of Research Courses of Study</w:t>
    </w:r>
  </w:p>
  <w:p w14:paraId="59F55C8D" w14:textId="77777777" w:rsidR="002750C2" w:rsidRDefault="00275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8D10" w14:textId="77777777" w:rsidR="003D6AFB" w:rsidRDefault="003D6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7CF5"/>
    <w:rsid w:val="00106E74"/>
    <w:rsid w:val="002750C2"/>
    <w:rsid w:val="002E2660"/>
    <w:rsid w:val="003D6AFB"/>
    <w:rsid w:val="006F60A4"/>
    <w:rsid w:val="007D6451"/>
    <w:rsid w:val="00893A89"/>
    <w:rsid w:val="008D0512"/>
    <w:rsid w:val="00A43D38"/>
    <w:rsid w:val="00BB2783"/>
    <w:rsid w:val="00E576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9DC11"/>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512"/>
    <w:pPr>
      <w:spacing w:after="120" w:line="240" w:lineRule="auto"/>
      <w:ind w:left="862" w:right="6"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8D0512"/>
    <w:pPr>
      <w:keepNext/>
      <w:keepLines/>
      <w:tabs>
        <w:tab w:val="left" w:pos="567"/>
      </w:tabs>
      <w:ind w:left="0" w:right="0" w:firstLine="0"/>
      <w:outlineLvl w:val="0"/>
    </w:pPr>
    <w:rPr>
      <w:rFonts w:eastAsiaTheme="majorEastAsia" w:cstheme="majorBidi"/>
      <w:b/>
      <w:color w:val="auto"/>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512"/>
    <w:rPr>
      <w:rFonts w:ascii="Arial" w:eastAsiaTheme="majorEastAsia" w:hAnsi="Arial" w:cstheme="majorBidi"/>
      <w:b/>
      <w:sz w:val="24"/>
      <w:szCs w:val="32"/>
    </w:rPr>
  </w:style>
  <w:style w:type="paragraph" w:styleId="Header">
    <w:name w:val="header"/>
    <w:basedOn w:val="Normal"/>
    <w:link w:val="HeaderChar"/>
    <w:unhideWhenUsed/>
    <w:rsid w:val="002750C2"/>
    <w:pPr>
      <w:tabs>
        <w:tab w:val="center" w:pos="4513"/>
        <w:tab w:val="right" w:pos="9026"/>
      </w:tabs>
      <w:spacing w:after="0"/>
      <w:ind w:left="0" w:right="0" w:firstLine="0"/>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ind w:left="0" w:right="0" w:firstLine="0"/>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ind w:left="0" w:righ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8D0512"/>
    <w:rPr>
      <w:color w:val="0563C1" w:themeColor="hyperlink"/>
      <w:u w:val="single"/>
    </w:rPr>
  </w:style>
  <w:style w:type="paragraph" w:styleId="TOC1">
    <w:name w:val="toc 1"/>
    <w:basedOn w:val="Normal"/>
    <w:next w:val="Normal"/>
    <w:autoRedefine/>
    <w:uiPriority w:val="39"/>
    <w:unhideWhenUsed/>
    <w:rsid w:val="00106E74"/>
    <w:pPr>
      <w:spacing w:after="100"/>
      <w:ind w:left="0"/>
    </w:pPr>
  </w:style>
  <w:style w:type="character" w:styleId="UnresolvedMention">
    <w:name w:val="Unresolved Mention"/>
    <w:basedOn w:val="DefaultParagraphFont"/>
    <w:uiPriority w:val="99"/>
    <w:semiHidden/>
    <w:unhideWhenUsed/>
    <w:rsid w:val="00E5767D"/>
    <w:rPr>
      <w:color w:val="605E5C"/>
      <w:shd w:val="clear" w:color="auto" w:fill="E1DFDD"/>
    </w:rPr>
  </w:style>
  <w:style w:type="character" w:styleId="FollowedHyperlink">
    <w:name w:val="FollowedHyperlink"/>
    <w:basedOn w:val="DefaultParagraphFont"/>
    <w:uiPriority w:val="99"/>
    <w:semiHidden/>
    <w:unhideWhenUsed/>
    <w:rsid w:val="00E57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ac.uk/education/regulatory-framework/codes-of-practice-for-research-cours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kent.ac.uk/education/regulatory-framework/codes-of-practice-for-research-cour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ac.uk/education/regulatory-framework/codes-of-practice-for-research-cours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kent.ac.uk/education/regulatory-framework/codes-of-practice-for-research-courses"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ac.uk/guides/deposit-your-thesi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2" ma:contentTypeDescription="Create a new document." ma:contentTypeScope="" ma:versionID="a8a8aa8f1111874697213081bb6b3929">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33166e3ca547db6e88bc9efa68e40bdb"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66325A23-38F2-435B-A205-A42C948B4AFD}">
  <ds:schemaRefs>
    <ds:schemaRef ds:uri="http://schemas.microsoft.com/sharepoint/v3/contenttype/forms"/>
  </ds:schemaRefs>
</ds:datastoreItem>
</file>

<file path=customXml/itemProps2.xml><?xml version="1.0" encoding="utf-8"?>
<ds:datastoreItem xmlns:ds="http://schemas.openxmlformats.org/officeDocument/2006/customXml" ds:itemID="{5082AEE6-6F01-4291-846E-A1583A22E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9F944-DC3B-40A4-905F-495A153E7A8B}">
  <ds:schemaRefs>
    <ds:schemaRef ds:uri="http://schemas.openxmlformats.org/officeDocument/2006/bibliography"/>
  </ds:schemaRefs>
</ds:datastoreItem>
</file>

<file path=customXml/itemProps4.xml><?xml version="1.0" encoding="utf-8"?>
<ds:datastoreItem xmlns:ds="http://schemas.openxmlformats.org/officeDocument/2006/customXml" ds:itemID="{07544800-3BA7-400A-9968-55BE28FEF933}">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9</cp:revision>
  <dcterms:created xsi:type="dcterms:W3CDTF">2021-07-09T10:39:00Z</dcterms:created>
  <dcterms:modified xsi:type="dcterms:W3CDTF">2023-11-13T10:29:00Z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ies>
</file>