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6BC3" w14:textId="77777777" w:rsidR="00F85409" w:rsidRPr="00F85409" w:rsidRDefault="009A2D37" w:rsidP="00F85409">
      <w:pPr>
        <w:numPr>
          <w:ilvl w:val="0"/>
          <w:numId w:val="1"/>
        </w:numPr>
        <w:spacing w:before="60" w:after="60" w:line="240" w:lineRule="auto"/>
        <w:ind w:left="567" w:right="-330" w:hanging="567"/>
        <w:jc w:val="both"/>
        <w:rPr>
          <w:rFonts w:ascii="Arial" w:hAnsi="Arial" w:cs="Arial"/>
          <w:sz w:val="24"/>
          <w:szCs w:val="24"/>
        </w:rPr>
      </w:pPr>
      <w:r w:rsidRPr="009D52D0">
        <w:rPr>
          <w:rFonts w:ascii="Arial" w:hAnsi="Arial" w:cs="Arial"/>
          <w:b/>
          <w:sz w:val="24"/>
          <w:szCs w:val="24"/>
        </w:rPr>
        <w:t>Title of the module</w:t>
      </w:r>
    </w:p>
    <w:p w14:paraId="7BB9E0E4" w14:textId="182EB03A" w:rsidR="009A2D37" w:rsidRPr="00F85409" w:rsidRDefault="002B54C2" w:rsidP="00F85409">
      <w:pPr>
        <w:spacing w:before="60" w:after="60" w:line="240" w:lineRule="auto"/>
        <w:ind w:left="567" w:right="-330"/>
        <w:jc w:val="both"/>
        <w:rPr>
          <w:rFonts w:ascii="Arial" w:hAnsi="Arial" w:cs="Arial"/>
          <w:sz w:val="24"/>
          <w:szCs w:val="24"/>
        </w:rPr>
      </w:pPr>
      <w:r>
        <w:rPr>
          <w:rFonts w:ascii="Arial" w:hAnsi="Arial" w:cs="Arial"/>
          <w:sz w:val="24"/>
          <w:szCs w:val="24"/>
        </w:rPr>
        <w:t>WCON5321 (</w:t>
      </w:r>
      <w:r w:rsidR="00F85409" w:rsidRPr="000D4093">
        <w:rPr>
          <w:rFonts w:ascii="Arial" w:hAnsi="Arial" w:cs="Arial"/>
          <w:sz w:val="24"/>
          <w:szCs w:val="24"/>
        </w:rPr>
        <w:t>DI</w:t>
      </w:r>
      <w:r w:rsidR="00F85409">
        <w:rPr>
          <w:rFonts w:ascii="Arial" w:hAnsi="Arial" w:cs="Arial"/>
          <w:sz w:val="24"/>
          <w:szCs w:val="24"/>
        </w:rPr>
        <w:t>533</w:t>
      </w:r>
      <w:r>
        <w:rPr>
          <w:rFonts w:ascii="Arial" w:hAnsi="Arial" w:cs="Arial"/>
          <w:sz w:val="24"/>
          <w:szCs w:val="24"/>
        </w:rPr>
        <w:t>)</w:t>
      </w:r>
      <w:r w:rsidR="00F85409" w:rsidRPr="000D4093">
        <w:rPr>
          <w:rFonts w:ascii="Arial" w:hAnsi="Arial" w:cs="Arial"/>
          <w:sz w:val="24"/>
          <w:szCs w:val="24"/>
        </w:rPr>
        <w:t xml:space="preserve"> Professional </w:t>
      </w:r>
      <w:r>
        <w:rPr>
          <w:rFonts w:ascii="Arial" w:hAnsi="Arial" w:cs="Arial"/>
          <w:sz w:val="24"/>
          <w:szCs w:val="24"/>
        </w:rPr>
        <w:t>P</w:t>
      </w:r>
      <w:r w:rsidR="00F85409" w:rsidRPr="000D4093">
        <w:rPr>
          <w:rFonts w:ascii="Arial" w:hAnsi="Arial" w:cs="Arial"/>
          <w:sz w:val="24"/>
          <w:szCs w:val="24"/>
        </w:rPr>
        <w:t xml:space="preserve">lacements </w:t>
      </w:r>
    </w:p>
    <w:p w14:paraId="7D487651" w14:textId="77777777" w:rsidR="009A2D37" w:rsidRDefault="007A49C1"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FF00107" w14:textId="77777777" w:rsidR="00F85409" w:rsidRPr="00F85409" w:rsidRDefault="00F85409" w:rsidP="00F85409">
      <w:pPr>
        <w:spacing w:after="120" w:line="240" w:lineRule="auto"/>
        <w:ind w:left="567" w:right="543"/>
        <w:jc w:val="both"/>
        <w:rPr>
          <w:rFonts w:ascii="Arial" w:hAnsi="Arial" w:cs="Arial"/>
          <w:bCs/>
          <w:sz w:val="24"/>
          <w:szCs w:val="24"/>
        </w:rPr>
      </w:pPr>
      <w:r w:rsidRPr="00F85409">
        <w:rPr>
          <w:rFonts w:ascii="Arial" w:hAnsi="Arial" w:cs="Arial"/>
          <w:bCs/>
          <w:sz w:val="24"/>
          <w:szCs w:val="24"/>
        </w:rPr>
        <w:t>Division of Human</w:t>
      </w:r>
      <w:r>
        <w:rPr>
          <w:rFonts w:ascii="Arial" w:hAnsi="Arial" w:cs="Arial"/>
          <w:bCs/>
          <w:sz w:val="24"/>
          <w:szCs w:val="24"/>
        </w:rPr>
        <w:t xml:space="preserve"> and Social Sciences; School of Anthropology and Conservation</w:t>
      </w:r>
    </w:p>
    <w:p w14:paraId="6EB9F403" w14:textId="77777777" w:rsidR="009A2D37" w:rsidRPr="009D52D0" w:rsidRDefault="00883204"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 xml:space="preserve">Level </w:t>
      </w:r>
      <w:proofErr w:type="gramStart"/>
      <w:r w:rsidR="00441E76" w:rsidRPr="009D52D0">
        <w:rPr>
          <w:rFonts w:ascii="Arial" w:hAnsi="Arial" w:cs="Arial"/>
          <w:b/>
          <w:sz w:val="24"/>
          <w:szCs w:val="24"/>
        </w:rPr>
        <w:t>6</w:t>
      </w:r>
      <w:proofErr w:type="gramEnd"/>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ED2FF63" w14:textId="77777777" w:rsidR="009A2D37" w:rsidRDefault="00F85409" w:rsidP="00F85409">
      <w:pPr>
        <w:spacing w:after="120" w:line="240" w:lineRule="auto"/>
        <w:ind w:left="567" w:right="543"/>
        <w:jc w:val="both"/>
        <w:rPr>
          <w:rFonts w:ascii="Arial" w:hAnsi="Arial" w:cs="Arial"/>
          <w:sz w:val="24"/>
          <w:szCs w:val="24"/>
        </w:rPr>
      </w:pPr>
      <w:r>
        <w:rPr>
          <w:rFonts w:ascii="Arial" w:hAnsi="Arial" w:cs="Arial"/>
          <w:sz w:val="24"/>
          <w:szCs w:val="24"/>
        </w:rPr>
        <w:t>Level 6</w:t>
      </w:r>
    </w:p>
    <w:p w14:paraId="1FFB42B7"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53B3742" w14:textId="77777777" w:rsidR="009A2D37" w:rsidRDefault="00F85409" w:rsidP="00F85409">
      <w:pPr>
        <w:spacing w:after="120" w:line="240" w:lineRule="auto"/>
        <w:ind w:left="567" w:right="543"/>
        <w:rPr>
          <w:rFonts w:ascii="Arial" w:hAnsi="Arial" w:cs="Arial"/>
          <w:sz w:val="24"/>
          <w:szCs w:val="24"/>
        </w:rPr>
      </w:pPr>
      <w:r w:rsidRPr="00F85409">
        <w:rPr>
          <w:rFonts w:ascii="Arial" w:hAnsi="Arial" w:cs="Arial"/>
          <w:sz w:val="24"/>
          <w:szCs w:val="24"/>
        </w:rPr>
        <w:t>120 credits (60 ECTS credits)</w:t>
      </w:r>
    </w:p>
    <w:p w14:paraId="27BC8A7D"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719A4AC" w14:textId="77777777"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 xml:space="preserve">Not applicable. The placement will cover a minimum of 24 weeks between </w:t>
      </w:r>
      <w:r w:rsidR="007012EC">
        <w:rPr>
          <w:rFonts w:ascii="Arial" w:hAnsi="Arial" w:cs="Arial"/>
          <w:iCs/>
          <w:sz w:val="24"/>
          <w:szCs w:val="24"/>
        </w:rPr>
        <w:t>S</w:t>
      </w:r>
      <w:r w:rsidRPr="00F85409">
        <w:rPr>
          <w:rFonts w:ascii="Arial" w:hAnsi="Arial" w:cs="Arial"/>
          <w:iCs/>
          <w:sz w:val="24"/>
          <w:szCs w:val="24"/>
        </w:rPr>
        <w:t>tages 2 and 3</w:t>
      </w:r>
    </w:p>
    <w:p w14:paraId="09D9193E"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8AA1DA3" w14:textId="77777777" w:rsidR="009A2D37" w:rsidRDefault="00F85409" w:rsidP="00F85409">
      <w:pPr>
        <w:spacing w:after="120" w:line="240" w:lineRule="auto"/>
        <w:ind w:left="567" w:right="543"/>
        <w:rPr>
          <w:rFonts w:ascii="Arial" w:hAnsi="Arial" w:cs="Arial"/>
          <w:iCs/>
          <w:sz w:val="24"/>
          <w:szCs w:val="24"/>
        </w:rPr>
      </w:pPr>
      <w:r>
        <w:rPr>
          <w:rFonts w:ascii="Arial" w:hAnsi="Arial" w:cs="Arial"/>
          <w:iCs/>
          <w:sz w:val="24"/>
          <w:szCs w:val="24"/>
        </w:rPr>
        <w:t>None</w:t>
      </w:r>
    </w:p>
    <w:p w14:paraId="6B733458"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DAC1765" w14:textId="351199EB"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 xml:space="preserve">[Standard SAC </w:t>
      </w:r>
      <w:r w:rsidR="00906FDE">
        <w:rPr>
          <w:rFonts w:ascii="Arial" w:hAnsi="Arial" w:cs="Arial"/>
          <w:iCs/>
          <w:sz w:val="24"/>
          <w:szCs w:val="24"/>
        </w:rPr>
        <w:t>courses</w:t>
      </w:r>
      <w:r w:rsidRPr="00F85409">
        <w:rPr>
          <w:rFonts w:ascii="Arial" w:hAnsi="Arial" w:cs="Arial"/>
          <w:iCs/>
          <w:sz w:val="24"/>
          <w:szCs w:val="24"/>
        </w:rPr>
        <w:t>] with a year in professional practice</w:t>
      </w:r>
    </w:p>
    <w:p w14:paraId="3B826876" w14:textId="77777777" w:rsidR="009A2D37" w:rsidRPr="009D52D0" w:rsidRDefault="009A2D37" w:rsidP="00F8540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4EE4CF6" w14:textId="77777777"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During the placement, students will:</w:t>
      </w:r>
    </w:p>
    <w:p w14:paraId="150B47E5" w14:textId="77777777" w:rsidR="00F85409" w:rsidRPr="00F85409" w:rsidRDefault="00C81F2A" w:rsidP="00F85409">
      <w:pPr>
        <w:spacing w:after="120" w:line="240" w:lineRule="auto"/>
        <w:ind w:left="567" w:right="543"/>
        <w:rPr>
          <w:rFonts w:ascii="Arial" w:hAnsi="Arial" w:cs="Arial"/>
          <w:iCs/>
          <w:sz w:val="24"/>
          <w:szCs w:val="24"/>
        </w:rPr>
      </w:pPr>
      <w:r>
        <w:rPr>
          <w:rFonts w:ascii="Arial" w:hAnsi="Arial" w:cs="Arial"/>
          <w:sz w:val="24"/>
          <w:szCs w:val="24"/>
        </w:rPr>
        <w:t>8</w:t>
      </w:r>
      <w:r w:rsidR="00F85409" w:rsidRPr="00F85409">
        <w:rPr>
          <w:rFonts w:ascii="Arial" w:hAnsi="Arial" w:cs="Arial"/>
          <w:sz w:val="24"/>
          <w:szCs w:val="24"/>
        </w:rPr>
        <w:t xml:space="preserve">.1: gain familiarity with the workings of a professional organisation working in a field related to their degree programme </w:t>
      </w:r>
    </w:p>
    <w:p w14:paraId="6CD1DD74"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8</w:t>
      </w:r>
      <w:r w:rsidR="00F85409" w:rsidRPr="00F85409">
        <w:rPr>
          <w:rFonts w:ascii="Arial" w:hAnsi="Arial" w:cs="Arial"/>
          <w:sz w:val="24"/>
          <w:szCs w:val="24"/>
        </w:rPr>
        <w:t xml:space="preserve">.2: develop an advanced ability to apply academic knowledge from their degree programme and related generic skills to day-to-day work for a professional organisation   </w:t>
      </w:r>
    </w:p>
    <w:p w14:paraId="4A298CFF" w14:textId="77777777" w:rsidR="00273CF0" w:rsidRDefault="00C81F2A" w:rsidP="00F85409">
      <w:pPr>
        <w:spacing w:after="120" w:line="240" w:lineRule="auto"/>
        <w:ind w:left="567" w:right="543"/>
        <w:rPr>
          <w:rFonts w:ascii="Arial" w:hAnsi="Arial" w:cs="Arial"/>
          <w:sz w:val="24"/>
          <w:szCs w:val="24"/>
        </w:rPr>
      </w:pPr>
      <w:r>
        <w:rPr>
          <w:rFonts w:ascii="Arial" w:hAnsi="Arial" w:cs="Arial"/>
          <w:sz w:val="24"/>
          <w:szCs w:val="24"/>
        </w:rPr>
        <w:t>8</w:t>
      </w:r>
      <w:r w:rsidR="00F85409" w:rsidRPr="00F85409">
        <w:rPr>
          <w:rFonts w:ascii="Arial" w:hAnsi="Arial" w:cs="Arial"/>
          <w:sz w:val="24"/>
          <w:szCs w:val="24"/>
        </w:rPr>
        <w:t xml:space="preserve">.3 Understand and explain the theoretical, </w:t>
      </w:r>
      <w:proofErr w:type="gramStart"/>
      <w:r w:rsidR="00F85409" w:rsidRPr="00F85409">
        <w:rPr>
          <w:rFonts w:ascii="Arial" w:hAnsi="Arial" w:cs="Arial"/>
          <w:sz w:val="24"/>
          <w:szCs w:val="24"/>
        </w:rPr>
        <w:t>technical</w:t>
      </w:r>
      <w:proofErr w:type="gramEnd"/>
      <w:r w:rsidR="00F85409" w:rsidRPr="00F85409">
        <w:rPr>
          <w:rFonts w:ascii="Arial" w:hAnsi="Arial" w:cs="Arial"/>
          <w:sz w:val="24"/>
          <w:szCs w:val="24"/>
        </w:rPr>
        <w:t xml:space="preserve"> or applied dimensions of an applied problem relevant to their degree programme</w:t>
      </w:r>
    </w:p>
    <w:p w14:paraId="6D5446FD" w14:textId="77777777" w:rsidR="00C729D7" w:rsidRPr="009D52D0" w:rsidRDefault="009A2D37" w:rsidP="00F8540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53445FB" w14:textId="77777777" w:rsidR="00F85409" w:rsidRPr="00F85409" w:rsidRDefault="00F85409" w:rsidP="00F85409">
      <w:pPr>
        <w:spacing w:after="120" w:line="240" w:lineRule="auto"/>
        <w:ind w:left="567" w:right="543"/>
        <w:rPr>
          <w:rFonts w:ascii="Arial" w:hAnsi="Arial" w:cs="Arial"/>
          <w:sz w:val="24"/>
          <w:szCs w:val="24"/>
        </w:rPr>
      </w:pPr>
      <w:r w:rsidRPr="00F85409">
        <w:rPr>
          <w:rFonts w:ascii="Arial" w:hAnsi="Arial" w:cs="Arial"/>
          <w:sz w:val="24"/>
          <w:szCs w:val="24"/>
        </w:rPr>
        <w:t>On completion of this module students will be able to:</w:t>
      </w:r>
    </w:p>
    <w:p w14:paraId="516D8194"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.1: Work effectively as a member of a professional team. </w:t>
      </w:r>
    </w:p>
    <w:p w14:paraId="7110EAF9"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.2:  Make effective use of information sources</w:t>
      </w:r>
    </w:p>
    <w:p w14:paraId="311334FD"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.3  Communicate succinctly the subject matter of their placement tasks </w:t>
      </w:r>
    </w:p>
    <w:p w14:paraId="48E4A25B"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.4: Depending on the requirements of the placement, understand and explain the theoretical, </w:t>
      </w:r>
      <w:proofErr w:type="gramStart"/>
      <w:r w:rsidR="00F85409" w:rsidRPr="00F85409">
        <w:rPr>
          <w:rFonts w:ascii="Arial" w:hAnsi="Arial" w:cs="Arial"/>
          <w:sz w:val="24"/>
          <w:szCs w:val="24"/>
        </w:rPr>
        <w:t>technical</w:t>
      </w:r>
      <w:proofErr w:type="gramEnd"/>
      <w:r w:rsidR="00F85409" w:rsidRPr="00F85409">
        <w:rPr>
          <w:rFonts w:ascii="Arial" w:hAnsi="Arial" w:cs="Arial"/>
          <w:sz w:val="24"/>
          <w:szCs w:val="24"/>
        </w:rPr>
        <w:t xml:space="preserve"> or applied dimensions of a problem </w:t>
      </w:r>
      <w:r w:rsidR="00F85409" w:rsidRPr="00F85409">
        <w:rPr>
          <w:rFonts w:ascii="Arial" w:hAnsi="Arial" w:cs="Arial"/>
          <w:b/>
          <w:bCs/>
          <w:sz w:val="24"/>
          <w:szCs w:val="24"/>
        </w:rPr>
        <w:t xml:space="preserve"> </w:t>
      </w:r>
    </w:p>
    <w:p w14:paraId="06354BBD"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.5: Work independently, manage their own learning and development, including time management and organisational skills </w:t>
      </w:r>
    </w:p>
    <w:p w14:paraId="45A73A7F"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.6:  Appreciate the need for, and have engaged in, continuing professional development </w:t>
      </w:r>
    </w:p>
    <w:p w14:paraId="3B7BF3C0" w14:textId="77777777" w:rsidR="008D4447" w:rsidRPr="008D4447" w:rsidRDefault="008D4447" w:rsidP="00F85409">
      <w:pPr>
        <w:spacing w:after="120" w:line="240" w:lineRule="auto"/>
        <w:ind w:right="543"/>
        <w:rPr>
          <w:rFonts w:ascii="Arial" w:hAnsi="Arial" w:cs="Arial"/>
          <w:sz w:val="24"/>
          <w:szCs w:val="24"/>
        </w:rPr>
      </w:pPr>
    </w:p>
    <w:p w14:paraId="1D42EFE2"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2BF9707E" w14:textId="77777777"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The aim of the module is to provide students with the opportunity to spend a year (minimum 24 weeks) working in a professional environment, applying and enhancing the knowledge, skills and techniques that they have acquired in Stages 1 and 2 of their degree programme. This may be made up of a single placement of at least 24 weeks or of two or more shorter placements that together add up to at least 24 weeks. Individual placements will involve one or more defined roles or tasks; for example placements may involve contributing to, producing or carrying out (</w:t>
      </w:r>
      <w:proofErr w:type="spellStart"/>
      <w:r w:rsidRPr="00F85409">
        <w:rPr>
          <w:rFonts w:ascii="Arial" w:hAnsi="Arial" w:cs="Arial"/>
          <w:iCs/>
          <w:sz w:val="24"/>
          <w:szCs w:val="24"/>
        </w:rPr>
        <w:t>i</w:t>
      </w:r>
      <w:proofErr w:type="spellEnd"/>
      <w:r w:rsidRPr="00F85409">
        <w:rPr>
          <w:rFonts w:ascii="Arial" w:hAnsi="Arial" w:cs="Arial"/>
          <w:iCs/>
          <w:sz w:val="24"/>
          <w:szCs w:val="24"/>
        </w:rPr>
        <w:t>) a piece of research; (ii) a management plan or other management tool; (iii) a policy report, a piece of law or policy or its implementation; (iv) an exercise related to the storage and systematisation of data sets; (v) facilitation, planning and coordination of a consultation process or an event (vi) development of educational, awareness-raising or advocacy materials or activities. The work they do is entirely under the direction of their line manager at each placement, but support is provided via a named member of academic staff within the School (the 'Placement coordinator' for each student). This support includes ensuring that the work they are being expected to do is such that they can meet the learning outcomes of the module.</w:t>
      </w:r>
    </w:p>
    <w:p w14:paraId="1B5D5EE1" w14:textId="77777777"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Participation in this module is dependent on students obtaining an appropriate placement or placements. It is also normally dependent on maintaining a clean disciplinary record during their registration on the degree programme up to the time of their placement, although these requirements may be waived in individual cases at the discretion of the module and programme convenors where we judge that there is a strong case for allowing the placement to go ahead. Students who do not meet these conditions will normally be required to transfer to the appropriate programme without a Year in Professional Practice.</w:t>
      </w:r>
    </w:p>
    <w:p w14:paraId="6B01A2BA" w14:textId="77777777" w:rsidR="009A2D37" w:rsidRPr="009D52D0" w:rsidRDefault="00883204"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8CCBB32" w14:textId="77777777" w:rsidR="009A2D37" w:rsidRPr="00F85409" w:rsidRDefault="00F85409" w:rsidP="00F85409">
      <w:pPr>
        <w:spacing w:after="120" w:line="240" w:lineRule="auto"/>
        <w:ind w:left="567" w:right="543"/>
        <w:jc w:val="both"/>
        <w:rPr>
          <w:rFonts w:ascii="Arial" w:hAnsi="Arial" w:cs="Arial"/>
          <w:iCs/>
          <w:sz w:val="24"/>
          <w:szCs w:val="24"/>
        </w:rPr>
      </w:pPr>
      <w:r w:rsidRPr="00F85409">
        <w:rPr>
          <w:rFonts w:ascii="Arial" w:hAnsi="Arial" w:cs="Arial"/>
          <w:iCs/>
          <w:sz w:val="24"/>
          <w:szCs w:val="24"/>
        </w:rPr>
        <w:t>Not applicable</w:t>
      </w:r>
    </w:p>
    <w:p w14:paraId="3BB33300" w14:textId="77777777" w:rsidR="00883204" w:rsidRPr="009D52D0" w:rsidRDefault="009A2D37" w:rsidP="00F85409">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4B85419" w14:textId="522B500D"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Students wishing to undertake the Placement Year programme are expected to find appropriate placement(s) themselves. However</w:t>
      </w:r>
      <w:r w:rsidR="002B54C2">
        <w:rPr>
          <w:rFonts w:ascii="Arial" w:hAnsi="Arial" w:cs="Arial"/>
          <w:iCs/>
          <w:sz w:val="24"/>
          <w:szCs w:val="24"/>
        </w:rPr>
        <w:t>,</w:t>
      </w:r>
      <w:r w:rsidRPr="00F85409">
        <w:rPr>
          <w:rFonts w:ascii="Arial" w:hAnsi="Arial" w:cs="Arial"/>
          <w:iCs/>
          <w:sz w:val="24"/>
          <w:szCs w:val="24"/>
        </w:rPr>
        <w:t xml:space="preserve"> support will be provided to the student on different aspects of identifying, applying for, securing and preparing for placements by the University’s Careers and Employability Service (</w:t>
      </w:r>
      <w:proofErr w:type="gramStart"/>
      <w:r w:rsidRPr="00F85409">
        <w:rPr>
          <w:rFonts w:ascii="Arial" w:hAnsi="Arial" w:cs="Arial"/>
          <w:iCs/>
          <w:sz w:val="24"/>
          <w:szCs w:val="24"/>
        </w:rPr>
        <w:t>e.g.</w:t>
      </w:r>
      <w:proofErr w:type="gramEnd"/>
      <w:r w:rsidRPr="00F85409">
        <w:rPr>
          <w:rFonts w:ascii="Arial" w:hAnsi="Arial" w:cs="Arial"/>
          <w:iCs/>
          <w:sz w:val="24"/>
          <w:szCs w:val="24"/>
        </w:rPr>
        <w:t xml:space="preserve"> on CV writing, interview skills). The careers office also coordinates duty of care issues and Kent Innovation and Enterprise coordinates contracts with placement host organisations. Additional subject-specific advice and support in the period leading up to placements, including guidance on what is required for successful achievement of module outcomes and the kinds of placement tasks that are appropriate, is provided by the module convenor and other staff within SAC.  In addition, each year, a de-briefing day is organised where stage 3</w:t>
      </w:r>
      <w:r w:rsidR="00653D4E">
        <w:rPr>
          <w:rFonts w:ascii="Arial" w:hAnsi="Arial" w:cs="Arial"/>
          <w:iCs/>
          <w:sz w:val="24"/>
          <w:szCs w:val="24"/>
        </w:rPr>
        <w:t xml:space="preserve"> students</w:t>
      </w:r>
      <w:r w:rsidRPr="00F85409">
        <w:rPr>
          <w:rFonts w:ascii="Arial" w:hAnsi="Arial" w:cs="Arial"/>
          <w:iCs/>
          <w:sz w:val="24"/>
          <w:szCs w:val="24"/>
        </w:rPr>
        <w:t xml:space="preserve"> who have completed a placements year talk to stage 2 students about their experiences and lessons learned.</w:t>
      </w:r>
    </w:p>
    <w:p w14:paraId="0E7F3FC4" w14:textId="77777777"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 xml:space="preserve">Prior to final approval of each placement, one member of academic staff within SAC must agree to act as the Placement Coordinator for that placement. During the placement(s) itself, each student's learning is expected to be directed by their line manager, depending on the requirements of the role they take in the host organisation. The Placement coordinator holds at least two supervisory meetings with the student </w:t>
      </w:r>
      <w:r w:rsidRPr="00F85409">
        <w:rPr>
          <w:rFonts w:ascii="Arial" w:hAnsi="Arial" w:cs="Arial"/>
          <w:iCs/>
          <w:sz w:val="24"/>
          <w:szCs w:val="24"/>
        </w:rPr>
        <w:lastRenderedPageBreak/>
        <w:t>during the year, either in person (where practicable at the placement site) or by skype or other appropriate means of communication. The first meeting is near the start of the placement period, to check that integration into the workplace is proceeding and that the work being required of the student is appropriate. The second is at a later stage to assist both the student and the organisation with the requirements of the assessment process. Throughout the year, support by email and / or phone is available from the Placement Coordinator or a nominated deputy within the School, where appropriate in coordination with the module convenor, university placements officer or other university staff.</w:t>
      </w:r>
    </w:p>
    <w:p w14:paraId="42BDFF45" w14:textId="77777777"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In the case of cancellation or discontinuation of placements during the placement year due to conditions outside the student's control, the module convenor will – where appropriate in liaison with the programme convenor, the senior tutor or other academic staff members – advise the student on how to recover any missing credit points.</w:t>
      </w:r>
    </w:p>
    <w:p w14:paraId="5162DA7F" w14:textId="77777777" w:rsidR="00883204" w:rsidRPr="009D52D0" w:rsidRDefault="00EF4933" w:rsidP="00F85409">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86511F4" w14:textId="77777777" w:rsidR="00696FF5" w:rsidRPr="009D52D0" w:rsidRDefault="00696FF5" w:rsidP="00F85409">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86E92FC" w14:textId="6D58BCFA" w:rsidR="001719FB" w:rsidRDefault="001719FB" w:rsidP="001719FB">
      <w:pPr>
        <w:autoSpaceDE w:val="0"/>
        <w:autoSpaceDN w:val="0"/>
        <w:adjustRightInd w:val="0"/>
        <w:spacing w:after="0" w:line="240" w:lineRule="auto"/>
        <w:ind w:left="567"/>
        <w:rPr>
          <w:rFonts w:ascii="Arial" w:hAnsi="Arial" w:cs="Arial"/>
          <w:iCs/>
          <w:sz w:val="24"/>
          <w:szCs w:val="24"/>
        </w:rPr>
      </w:pPr>
      <w:r>
        <w:rPr>
          <w:rFonts w:ascii="Arial" w:hAnsi="Arial" w:cs="Arial"/>
          <w:iCs/>
          <w:sz w:val="24"/>
          <w:szCs w:val="24"/>
        </w:rPr>
        <w:t>Manager Appraisal</w:t>
      </w:r>
      <w:r w:rsidR="00093743">
        <w:rPr>
          <w:rFonts w:ascii="Arial" w:hAnsi="Arial" w:cs="Arial"/>
          <w:iCs/>
          <w:sz w:val="24"/>
          <w:szCs w:val="24"/>
        </w:rPr>
        <w:t xml:space="preserve"> </w:t>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t>Pass / Fail, compulsory element</w:t>
      </w:r>
    </w:p>
    <w:p w14:paraId="0509A31E" w14:textId="19E6A18D" w:rsidR="001719FB" w:rsidRDefault="001719FB" w:rsidP="001719FB">
      <w:pPr>
        <w:autoSpaceDE w:val="0"/>
        <w:autoSpaceDN w:val="0"/>
        <w:adjustRightInd w:val="0"/>
        <w:spacing w:after="0" w:line="240" w:lineRule="auto"/>
        <w:ind w:left="567"/>
        <w:rPr>
          <w:rFonts w:ascii="Arial" w:hAnsi="Arial" w:cs="Arial"/>
          <w:iCs/>
          <w:sz w:val="24"/>
          <w:szCs w:val="24"/>
        </w:rPr>
      </w:pPr>
      <w:r>
        <w:rPr>
          <w:rFonts w:ascii="Arial" w:hAnsi="Arial" w:cs="Arial"/>
          <w:iCs/>
          <w:sz w:val="24"/>
          <w:szCs w:val="24"/>
        </w:rPr>
        <w:t xml:space="preserve">Report – 4000 words </w:t>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t>Pass / Fail, compulsory element</w:t>
      </w:r>
    </w:p>
    <w:p w14:paraId="5DC37A02" w14:textId="398715C7" w:rsidR="001719FB" w:rsidRDefault="001719FB" w:rsidP="001719FB">
      <w:pPr>
        <w:autoSpaceDE w:val="0"/>
        <w:autoSpaceDN w:val="0"/>
        <w:adjustRightInd w:val="0"/>
        <w:spacing w:after="0" w:line="240" w:lineRule="auto"/>
        <w:ind w:left="567"/>
        <w:rPr>
          <w:rFonts w:ascii="Arial" w:hAnsi="Arial" w:cs="Arial"/>
          <w:iCs/>
          <w:sz w:val="24"/>
          <w:szCs w:val="24"/>
        </w:rPr>
      </w:pPr>
      <w:r>
        <w:rPr>
          <w:rFonts w:ascii="Arial" w:hAnsi="Arial" w:cs="Arial"/>
          <w:iCs/>
          <w:sz w:val="24"/>
          <w:szCs w:val="24"/>
        </w:rPr>
        <w:t>Presentation</w:t>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t>Pass / Fail, compulsory element</w:t>
      </w:r>
    </w:p>
    <w:p w14:paraId="3FD6238A" w14:textId="77777777" w:rsidR="008D4447" w:rsidRPr="008D4447" w:rsidRDefault="008D4447" w:rsidP="00F85409">
      <w:pPr>
        <w:spacing w:after="120" w:line="240" w:lineRule="auto"/>
        <w:ind w:left="567" w:right="543" w:hanging="567"/>
        <w:rPr>
          <w:rFonts w:ascii="Arial" w:hAnsi="Arial" w:cs="Arial"/>
          <w:b/>
          <w:iCs/>
          <w:sz w:val="24"/>
          <w:szCs w:val="24"/>
        </w:rPr>
      </w:pPr>
    </w:p>
    <w:p w14:paraId="151E2A72" w14:textId="77777777" w:rsidR="00696FF5" w:rsidRPr="009D52D0" w:rsidRDefault="00696FF5" w:rsidP="00F85409">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14F0B90" w14:textId="27C61690" w:rsidR="00B72470" w:rsidRDefault="00466A39" w:rsidP="00C81F2A">
      <w:pPr>
        <w:spacing w:after="120" w:line="240" w:lineRule="auto"/>
        <w:ind w:left="567" w:right="543"/>
        <w:rPr>
          <w:rFonts w:ascii="Arial" w:hAnsi="Arial" w:cs="Arial"/>
          <w:iCs/>
          <w:sz w:val="24"/>
          <w:szCs w:val="24"/>
        </w:rPr>
      </w:pPr>
      <w:r>
        <w:rPr>
          <w:rFonts w:ascii="Arial" w:hAnsi="Arial" w:cs="Arial"/>
          <w:iCs/>
          <w:sz w:val="24"/>
          <w:szCs w:val="24"/>
        </w:rPr>
        <w:t>100%</w:t>
      </w:r>
      <w:r w:rsidR="00093743">
        <w:rPr>
          <w:rFonts w:ascii="Arial" w:hAnsi="Arial" w:cs="Arial"/>
          <w:iCs/>
          <w:sz w:val="24"/>
          <w:szCs w:val="24"/>
        </w:rPr>
        <w:t xml:space="preserve"> </w:t>
      </w:r>
      <w:r>
        <w:rPr>
          <w:rFonts w:ascii="Arial" w:hAnsi="Arial" w:cs="Arial"/>
          <w:iCs/>
          <w:sz w:val="24"/>
          <w:szCs w:val="24"/>
        </w:rPr>
        <w:t>Coursework (</w:t>
      </w:r>
      <w:r w:rsidR="00C81F2A" w:rsidRPr="00C81F2A">
        <w:rPr>
          <w:rFonts w:ascii="Arial" w:hAnsi="Arial" w:cs="Arial"/>
          <w:iCs/>
          <w:sz w:val="24"/>
          <w:szCs w:val="24"/>
        </w:rPr>
        <w:t>Report – 4000 words</w:t>
      </w:r>
      <w:r>
        <w:rPr>
          <w:rFonts w:ascii="Arial" w:hAnsi="Arial" w:cs="Arial"/>
          <w:iCs/>
          <w:sz w:val="24"/>
          <w:szCs w:val="24"/>
        </w:rPr>
        <w:t>)</w:t>
      </w:r>
      <w:r w:rsidR="00093743">
        <w:rPr>
          <w:rFonts w:ascii="Arial" w:hAnsi="Arial" w:cs="Arial"/>
          <w:iCs/>
          <w:sz w:val="24"/>
          <w:szCs w:val="24"/>
        </w:rPr>
        <w:t>, Pass/Fail</w:t>
      </w:r>
    </w:p>
    <w:p w14:paraId="107B7D57" w14:textId="77777777" w:rsidR="008D4447" w:rsidRPr="008D4447" w:rsidRDefault="008D4447" w:rsidP="00F85409">
      <w:pPr>
        <w:spacing w:after="120" w:line="240" w:lineRule="auto"/>
        <w:ind w:left="567" w:right="543" w:hanging="567"/>
        <w:rPr>
          <w:rFonts w:ascii="Arial" w:hAnsi="Arial" w:cs="Arial"/>
          <w:iCs/>
          <w:sz w:val="24"/>
          <w:szCs w:val="24"/>
        </w:rPr>
      </w:pPr>
    </w:p>
    <w:p w14:paraId="6C8426E7" w14:textId="77777777" w:rsidR="00274ED7" w:rsidRPr="009D52D0" w:rsidRDefault="006F3F8B" w:rsidP="00F85409">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75" w:type="dxa"/>
        <w:tblInd w:w="625" w:type="dxa"/>
        <w:tblLayout w:type="fixed"/>
        <w:tblLook w:val="04A0" w:firstRow="1" w:lastRow="0" w:firstColumn="1" w:lastColumn="0" w:noHBand="0" w:noVBand="1"/>
      </w:tblPr>
      <w:tblGrid>
        <w:gridCol w:w="4172"/>
        <w:gridCol w:w="567"/>
        <w:gridCol w:w="567"/>
        <w:gridCol w:w="567"/>
        <w:gridCol w:w="567"/>
        <w:gridCol w:w="567"/>
        <w:gridCol w:w="567"/>
        <w:gridCol w:w="567"/>
        <w:gridCol w:w="567"/>
        <w:gridCol w:w="567"/>
      </w:tblGrid>
      <w:tr w:rsidR="001719FB" w:rsidRPr="009D52D0" w14:paraId="0BB77309" w14:textId="77777777" w:rsidTr="00093743">
        <w:tc>
          <w:tcPr>
            <w:tcW w:w="4172" w:type="dxa"/>
            <w:shd w:val="clear" w:color="auto" w:fill="D9D9D9" w:themeFill="background1" w:themeFillShade="D9"/>
          </w:tcPr>
          <w:p w14:paraId="2965813C" w14:textId="77777777" w:rsidR="001719FB" w:rsidRPr="009D52D0" w:rsidRDefault="001719FB" w:rsidP="001719F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61BB41D"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8.1</w:t>
            </w:r>
          </w:p>
        </w:tc>
        <w:tc>
          <w:tcPr>
            <w:tcW w:w="567" w:type="dxa"/>
          </w:tcPr>
          <w:p w14:paraId="5FD983CA"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8.2</w:t>
            </w:r>
          </w:p>
        </w:tc>
        <w:tc>
          <w:tcPr>
            <w:tcW w:w="567" w:type="dxa"/>
          </w:tcPr>
          <w:p w14:paraId="36A1D29F"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8.3</w:t>
            </w:r>
          </w:p>
        </w:tc>
        <w:tc>
          <w:tcPr>
            <w:tcW w:w="567" w:type="dxa"/>
          </w:tcPr>
          <w:p w14:paraId="7919E95C"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9.1</w:t>
            </w:r>
          </w:p>
        </w:tc>
        <w:tc>
          <w:tcPr>
            <w:tcW w:w="567" w:type="dxa"/>
          </w:tcPr>
          <w:p w14:paraId="721A7930"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9.2</w:t>
            </w:r>
          </w:p>
        </w:tc>
        <w:tc>
          <w:tcPr>
            <w:tcW w:w="567" w:type="dxa"/>
          </w:tcPr>
          <w:p w14:paraId="7CA80F8F"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9.3</w:t>
            </w:r>
          </w:p>
        </w:tc>
        <w:tc>
          <w:tcPr>
            <w:tcW w:w="567" w:type="dxa"/>
          </w:tcPr>
          <w:p w14:paraId="5669DB28"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9.4</w:t>
            </w:r>
          </w:p>
        </w:tc>
        <w:tc>
          <w:tcPr>
            <w:tcW w:w="567" w:type="dxa"/>
          </w:tcPr>
          <w:p w14:paraId="36097143"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9.5</w:t>
            </w:r>
          </w:p>
        </w:tc>
        <w:tc>
          <w:tcPr>
            <w:tcW w:w="567" w:type="dxa"/>
          </w:tcPr>
          <w:p w14:paraId="234AE81D"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9.6</w:t>
            </w:r>
          </w:p>
        </w:tc>
      </w:tr>
      <w:tr w:rsidR="001719FB" w:rsidRPr="009D52D0" w14:paraId="5284DB2A" w14:textId="77777777" w:rsidTr="00093743">
        <w:tc>
          <w:tcPr>
            <w:tcW w:w="4172" w:type="dxa"/>
            <w:shd w:val="clear" w:color="auto" w:fill="D9D9D9" w:themeFill="background1" w:themeFillShade="D9"/>
          </w:tcPr>
          <w:p w14:paraId="17C4D339" w14:textId="77777777" w:rsidR="001719FB" w:rsidRPr="009D52D0" w:rsidRDefault="001719FB"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4E7F8F6"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246EB9C"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75C9650F"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4A36E2CB"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36A75758"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4CCE9D64"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2D78D7AD"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FF6D33B"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B122793" w14:textId="77777777" w:rsidR="001719FB" w:rsidRPr="009D52D0" w:rsidRDefault="001719FB" w:rsidP="001719FB">
            <w:pPr>
              <w:spacing w:after="120"/>
              <w:ind w:right="543"/>
              <w:jc w:val="center"/>
              <w:rPr>
                <w:rFonts w:ascii="Arial" w:hAnsi="Arial" w:cs="Arial"/>
                <w:b/>
                <w:sz w:val="20"/>
                <w:szCs w:val="20"/>
              </w:rPr>
            </w:pPr>
          </w:p>
        </w:tc>
      </w:tr>
      <w:tr w:rsidR="001719FB" w:rsidRPr="009D52D0" w14:paraId="180F8381" w14:textId="77777777" w:rsidTr="00093743">
        <w:tc>
          <w:tcPr>
            <w:tcW w:w="4172" w:type="dxa"/>
          </w:tcPr>
          <w:p w14:paraId="4DD8ACE7" w14:textId="77777777" w:rsidR="001719FB" w:rsidRPr="009D52D0" w:rsidRDefault="001719FB"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C6E012C" w14:textId="6FBC5DBA"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32FB3FF" w14:textId="03A4B4C1"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81934A0" w14:textId="2B16CDC8"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A04A2AF" w14:textId="6105773F"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EE1F522" w14:textId="5E11443C"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D85DFDC" w14:textId="2C8CD963"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3E9D1D8" w14:textId="11DE4823"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C23F38E" w14:textId="0F322AF5"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A436F3E" w14:textId="7B98D671"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r>
      <w:tr w:rsidR="001719FB" w:rsidRPr="009D52D0" w14:paraId="310CA7F4" w14:textId="77777777" w:rsidTr="00093743">
        <w:tc>
          <w:tcPr>
            <w:tcW w:w="4172" w:type="dxa"/>
            <w:shd w:val="clear" w:color="auto" w:fill="D9D9D9" w:themeFill="background1" w:themeFillShade="D9"/>
          </w:tcPr>
          <w:p w14:paraId="7B1C0897" w14:textId="77777777" w:rsidR="001719FB" w:rsidRPr="009D52D0" w:rsidRDefault="001719FB"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D827E31"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12300907"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57D70252"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6E80E724"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62304ABC"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71AFF578"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669015F"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56647E5"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3FE0E060" w14:textId="77777777" w:rsidR="001719FB" w:rsidRPr="009D52D0" w:rsidRDefault="001719FB" w:rsidP="001719FB">
            <w:pPr>
              <w:spacing w:after="120"/>
              <w:ind w:right="543"/>
              <w:jc w:val="center"/>
              <w:rPr>
                <w:rFonts w:ascii="Arial" w:hAnsi="Arial" w:cs="Arial"/>
                <w:b/>
                <w:sz w:val="20"/>
                <w:szCs w:val="20"/>
              </w:rPr>
            </w:pPr>
          </w:p>
        </w:tc>
      </w:tr>
      <w:tr w:rsidR="001719FB" w:rsidRPr="009D52D0" w14:paraId="0DD59BC3" w14:textId="77777777" w:rsidTr="00093743">
        <w:tc>
          <w:tcPr>
            <w:tcW w:w="4172" w:type="dxa"/>
          </w:tcPr>
          <w:p w14:paraId="4D9416C1" w14:textId="77777777" w:rsidR="001719FB" w:rsidRPr="009D52D0" w:rsidRDefault="001719FB" w:rsidP="009D52D0">
            <w:pPr>
              <w:spacing w:after="120"/>
              <w:ind w:right="543"/>
              <w:rPr>
                <w:rFonts w:ascii="Arial" w:hAnsi="Arial" w:cs="Arial"/>
                <w:i/>
                <w:sz w:val="20"/>
                <w:szCs w:val="20"/>
              </w:rPr>
            </w:pPr>
            <w:r>
              <w:rPr>
                <w:rFonts w:ascii="Arial" w:hAnsi="Arial" w:cs="Arial"/>
                <w:i/>
                <w:sz w:val="20"/>
                <w:szCs w:val="20"/>
              </w:rPr>
              <w:t>Manager Appraisal</w:t>
            </w:r>
          </w:p>
        </w:tc>
        <w:tc>
          <w:tcPr>
            <w:tcW w:w="567" w:type="dxa"/>
          </w:tcPr>
          <w:p w14:paraId="4539BF28"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3674197"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3B4C1273"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706CA263"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29E9D4A"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04D3F5"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644410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380BB3D"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C9BBE05"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r>
      <w:tr w:rsidR="001719FB" w:rsidRPr="009D52D0" w14:paraId="16085A36" w14:textId="77777777" w:rsidTr="00093743">
        <w:tc>
          <w:tcPr>
            <w:tcW w:w="4172" w:type="dxa"/>
          </w:tcPr>
          <w:p w14:paraId="56C5486D" w14:textId="77777777" w:rsidR="001719FB" w:rsidRPr="009D52D0" w:rsidRDefault="001719FB" w:rsidP="009D52D0">
            <w:pPr>
              <w:spacing w:after="120"/>
              <w:ind w:right="543"/>
              <w:rPr>
                <w:rFonts w:ascii="Arial" w:hAnsi="Arial" w:cs="Arial"/>
                <w:i/>
                <w:sz w:val="20"/>
                <w:szCs w:val="20"/>
              </w:rPr>
            </w:pPr>
            <w:r>
              <w:rPr>
                <w:rFonts w:ascii="Arial" w:hAnsi="Arial" w:cs="Arial"/>
                <w:i/>
                <w:sz w:val="20"/>
                <w:szCs w:val="20"/>
              </w:rPr>
              <w:t>Report</w:t>
            </w:r>
          </w:p>
        </w:tc>
        <w:tc>
          <w:tcPr>
            <w:tcW w:w="567" w:type="dxa"/>
          </w:tcPr>
          <w:p w14:paraId="69786D77" w14:textId="77777777" w:rsidR="001719FB" w:rsidRPr="009D52D0" w:rsidRDefault="00C81F2A"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C0C4F56"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F4C7FAB"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4CA8C68" w14:textId="4ED995DF" w:rsidR="001719FB" w:rsidRPr="009D52D0" w:rsidRDefault="00906FD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979179E"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58BFE2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6A33F98"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FCB80FB"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D202A6D"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r>
      <w:tr w:rsidR="001719FB" w:rsidRPr="009D52D0" w14:paraId="53999042" w14:textId="77777777" w:rsidTr="00093743">
        <w:tc>
          <w:tcPr>
            <w:tcW w:w="4172" w:type="dxa"/>
          </w:tcPr>
          <w:p w14:paraId="59798F73" w14:textId="77777777" w:rsidR="001719FB" w:rsidRPr="009D52D0" w:rsidRDefault="001719FB" w:rsidP="009D52D0">
            <w:pPr>
              <w:spacing w:after="120"/>
              <w:ind w:right="543"/>
              <w:rPr>
                <w:rFonts w:ascii="Arial" w:hAnsi="Arial" w:cs="Arial"/>
                <w:i/>
                <w:sz w:val="20"/>
                <w:szCs w:val="20"/>
              </w:rPr>
            </w:pPr>
            <w:r>
              <w:rPr>
                <w:rFonts w:ascii="Arial" w:hAnsi="Arial" w:cs="Arial"/>
                <w:i/>
                <w:sz w:val="20"/>
                <w:szCs w:val="20"/>
              </w:rPr>
              <w:t>Presentation</w:t>
            </w:r>
            <w:r w:rsidRPr="009D52D0">
              <w:rPr>
                <w:rFonts w:ascii="Arial" w:hAnsi="Arial" w:cs="Arial"/>
                <w:i/>
                <w:sz w:val="20"/>
                <w:szCs w:val="20"/>
              </w:rPr>
              <w:t xml:space="preserve"> </w:t>
            </w:r>
          </w:p>
        </w:tc>
        <w:tc>
          <w:tcPr>
            <w:tcW w:w="567" w:type="dxa"/>
          </w:tcPr>
          <w:p w14:paraId="278113B5"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1DDDD3EF"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62182EB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4C634B2"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52E06C4D"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6A7A56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8825688"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B3E9CFC"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5C1959DE" w14:textId="77777777" w:rsidR="001719FB" w:rsidRPr="009D52D0" w:rsidRDefault="001719FB" w:rsidP="001719FB">
            <w:pPr>
              <w:spacing w:after="120"/>
              <w:ind w:right="543"/>
              <w:jc w:val="center"/>
              <w:rPr>
                <w:rFonts w:ascii="Arial" w:hAnsi="Arial" w:cs="Arial"/>
                <w:b/>
                <w:sz w:val="20"/>
                <w:szCs w:val="20"/>
              </w:rPr>
            </w:pPr>
          </w:p>
        </w:tc>
      </w:tr>
    </w:tbl>
    <w:p w14:paraId="4540226C" w14:textId="77777777" w:rsidR="007A6245" w:rsidRDefault="007A6245" w:rsidP="009D52D0">
      <w:pPr>
        <w:spacing w:after="120" w:line="240" w:lineRule="auto"/>
        <w:ind w:left="426" w:right="543"/>
        <w:rPr>
          <w:rFonts w:ascii="Arial" w:hAnsi="Arial" w:cs="Arial"/>
          <w:b/>
          <w:iCs/>
          <w:sz w:val="24"/>
          <w:szCs w:val="24"/>
        </w:rPr>
      </w:pPr>
    </w:p>
    <w:p w14:paraId="4875590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8E572E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8540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75F07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89607C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EB61AEA"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B335BDF" w14:textId="77777777" w:rsidR="00096DA4" w:rsidRPr="009D52D0" w:rsidRDefault="00096DA4" w:rsidP="00F85409">
      <w:pPr>
        <w:spacing w:after="120" w:line="240" w:lineRule="auto"/>
        <w:ind w:right="543"/>
        <w:rPr>
          <w:rFonts w:ascii="Arial" w:hAnsi="Arial" w:cs="Arial"/>
          <w:i/>
          <w:iCs/>
          <w:sz w:val="24"/>
          <w:szCs w:val="24"/>
        </w:rPr>
      </w:pPr>
    </w:p>
    <w:p w14:paraId="2C58643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60847BF" w14:textId="62AAD84A" w:rsidR="009A2D37" w:rsidRPr="00F85409" w:rsidRDefault="00F85409" w:rsidP="00F85409">
      <w:pPr>
        <w:spacing w:after="120" w:line="240" w:lineRule="auto"/>
        <w:ind w:left="567" w:right="543"/>
        <w:rPr>
          <w:rFonts w:ascii="Arial" w:hAnsi="Arial" w:cs="Arial"/>
          <w:b/>
          <w:sz w:val="24"/>
          <w:szCs w:val="24"/>
        </w:rPr>
      </w:pPr>
      <w:r w:rsidRPr="00F85409">
        <w:rPr>
          <w:rFonts w:ascii="Arial" w:hAnsi="Arial" w:cs="Arial"/>
          <w:sz w:val="24"/>
          <w:szCs w:val="24"/>
        </w:rPr>
        <w:t>Not applicable. Delivery will be at placement locations. However</w:t>
      </w:r>
      <w:r w:rsidR="002B54C2">
        <w:rPr>
          <w:rFonts w:ascii="Arial" w:hAnsi="Arial" w:cs="Arial"/>
          <w:sz w:val="24"/>
          <w:szCs w:val="24"/>
        </w:rPr>
        <w:t>,</w:t>
      </w:r>
      <w:r w:rsidRPr="00F85409">
        <w:rPr>
          <w:rFonts w:ascii="Arial" w:hAnsi="Arial" w:cs="Arial"/>
          <w:sz w:val="24"/>
          <w:szCs w:val="24"/>
        </w:rPr>
        <w:t xml:space="preserve"> coordination will be from SAC at the Canterbury campus.</w:t>
      </w:r>
    </w:p>
    <w:p w14:paraId="16B56113" w14:textId="77777777" w:rsidR="008D4447" w:rsidRPr="008D4447" w:rsidRDefault="008D4447" w:rsidP="00F85409">
      <w:pPr>
        <w:spacing w:after="120" w:line="240" w:lineRule="auto"/>
        <w:ind w:left="567" w:right="543"/>
        <w:rPr>
          <w:rFonts w:ascii="Arial" w:hAnsi="Arial" w:cs="Arial"/>
          <w:iCs/>
          <w:sz w:val="24"/>
          <w:szCs w:val="24"/>
        </w:rPr>
      </w:pPr>
    </w:p>
    <w:p w14:paraId="4759E4F4"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EB13051" w14:textId="77777777" w:rsidR="00922E9E" w:rsidRDefault="00C81F2A" w:rsidP="00F85409">
      <w:pPr>
        <w:spacing w:after="120" w:line="240" w:lineRule="auto"/>
        <w:ind w:left="567" w:right="543"/>
        <w:rPr>
          <w:rFonts w:ascii="Arial" w:hAnsi="Arial" w:cs="Arial"/>
          <w:sz w:val="24"/>
          <w:szCs w:val="24"/>
        </w:rPr>
      </w:pPr>
      <w:r>
        <w:rPr>
          <w:rFonts w:ascii="Arial" w:hAnsi="Arial" w:cs="Arial"/>
          <w:sz w:val="24"/>
          <w:szCs w:val="24"/>
        </w:rPr>
        <w:t xml:space="preserve">This module provides students experience working local, national and/or international organisations, working on issues that often have </w:t>
      </w:r>
      <w:r w:rsidRPr="00C81F2A">
        <w:rPr>
          <w:rFonts w:ascii="Arial" w:hAnsi="Arial" w:cs="Arial"/>
          <w:sz w:val="24"/>
          <w:szCs w:val="24"/>
        </w:rPr>
        <w:t>local, national and/or international</w:t>
      </w:r>
      <w:r>
        <w:rPr>
          <w:rFonts w:ascii="Arial" w:hAnsi="Arial" w:cs="Arial"/>
          <w:sz w:val="24"/>
          <w:szCs w:val="24"/>
        </w:rPr>
        <w:t>. In addition, students have the opportunity to seek working opportunities with organisation overseas.</w:t>
      </w:r>
    </w:p>
    <w:p w14:paraId="4E977ECC" w14:textId="77777777" w:rsidR="008D4447" w:rsidRPr="008D4447" w:rsidRDefault="008D4447" w:rsidP="009D52D0">
      <w:pPr>
        <w:spacing w:after="120" w:line="240" w:lineRule="auto"/>
        <w:ind w:left="426" w:right="543"/>
        <w:rPr>
          <w:rFonts w:ascii="Arial" w:hAnsi="Arial" w:cs="Arial"/>
          <w:iCs/>
          <w:sz w:val="24"/>
          <w:szCs w:val="24"/>
        </w:rPr>
      </w:pPr>
    </w:p>
    <w:p w14:paraId="24E83D1D" w14:textId="77777777" w:rsidR="008D4447" w:rsidRPr="008D4447" w:rsidRDefault="008D4447" w:rsidP="009D52D0">
      <w:pPr>
        <w:spacing w:after="120" w:line="240" w:lineRule="auto"/>
        <w:ind w:right="543"/>
        <w:rPr>
          <w:rFonts w:ascii="Arial" w:hAnsi="Arial" w:cs="Arial"/>
          <w:sz w:val="24"/>
          <w:szCs w:val="24"/>
        </w:rPr>
      </w:pPr>
    </w:p>
    <w:p w14:paraId="7C7D55AD" w14:textId="77777777" w:rsidR="009D52D0" w:rsidRDefault="009D52D0">
      <w:pPr>
        <w:rPr>
          <w:rFonts w:ascii="Arial" w:hAnsi="Arial" w:cs="Arial"/>
          <w:sz w:val="24"/>
          <w:szCs w:val="24"/>
        </w:rPr>
      </w:pPr>
      <w:r>
        <w:rPr>
          <w:rFonts w:ascii="Arial" w:hAnsi="Arial" w:cs="Arial"/>
          <w:sz w:val="24"/>
          <w:szCs w:val="24"/>
        </w:rPr>
        <w:br w:type="page"/>
      </w:r>
    </w:p>
    <w:p w14:paraId="6F4CCD60"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06FBBB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980F4E3"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33F4BC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E69B192" w14:textId="77777777" w:rsidTr="00A13526">
        <w:trPr>
          <w:trHeight w:val="317"/>
        </w:trPr>
        <w:tc>
          <w:tcPr>
            <w:tcW w:w="1593" w:type="dxa"/>
          </w:tcPr>
          <w:p w14:paraId="1E4A1A2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BDA51B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7DA38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BF69DB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F0E9B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63CE9E" w14:textId="77777777" w:rsidTr="00A13526">
        <w:trPr>
          <w:trHeight w:val="305"/>
        </w:trPr>
        <w:tc>
          <w:tcPr>
            <w:tcW w:w="1593" w:type="dxa"/>
          </w:tcPr>
          <w:p w14:paraId="57CDEF9A" w14:textId="77777777" w:rsidR="00422B69" w:rsidRPr="009D52D0" w:rsidRDefault="00422B69" w:rsidP="009D52D0">
            <w:pPr>
              <w:spacing w:after="120"/>
              <w:ind w:right="543"/>
              <w:rPr>
                <w:rFonts w:ascii="Arial" w:hAnsi="Arial" w:cs="Arial"/>
                <w:sz w:val="20"/>
                <w:szCs w:val="20"/>
              </w:rPr>
            </w:pPr>
          </w:p>
        </w:tc>
        <w:tc>
          <w:tcPr>
            <w:tcW w:w="1815" w:type="dxa"/>
          </w:tcPr>
          <w:p w14:paraId="126DBE51" w14:textId="77777777" w:rsidR="00422B69" w:rsidRPr="009D52D0" w:rsidRDefault="00422B69" w:rsidP="009D52D0">
            <w:pPr>
              <w:spacing w:after="120"/>
              <w:ind w:right="543"/>
              <w:rPr>
                <w:rFonts w:ascii="Arial" w:hAnsi="Arial" w:cs="Arial"/>
                <w:sz w:val="20"/>
                <w:szCs w:val="20"/>
              </w:rPr>
            </w:pPr>
          </w:p>
        </w:tc>
        <w:tc>
          <w:tcPr>
            <w:tcW w:w="1974" w:type="dxa"/>
          </w:tcPr>
          <w:p w14:paraId="172AD4F6" w14:textId="77777777" w:rsidR="00422B69" w:rsidRPr="009D52D0" w:rsidRDefault="00422B69" w:rsidP="009D52D0">
            <w:pPr>
              <w:spacing w:after="120"/>
              <w:ind w:right="543"/>
              <w:rPr>
                <w:rFonts w:ascii="Arial" w:hAnsi="Arial" w:cs="Arial"/>
                <w:sz w:val="20"/>
                <w:szCs w:val="20"/>
              </w:rPr>
            </w:pPr>
          </w:p>
        </w:tc>
        <w:tc>
          <w:tcPr>
            <w:tcW w:w="2359" w:type="dxa"/>
          </w:tcPr>
          <w:p w14:paraId="6138A94C" w14:textId="77777777" w:rsidR="00422B69" w:rsidRPr="009D52D0" w:rsidRDefault="00422B69" w:rsidP="009D52D0">
            <w:pPr>
              <w:spacing w:after="120"/>
              <w:ind w:right="543"/>
              <w:rPr>
                <w:rFonts w:ascii="Arial" w:hAnsi="Arial" w:cs="Arial"/>
                <w:sz w:val="20"/>
                <w:szCs w:val="20"/>
              </w:rPr>
            </w:pPr>
          </w:p>
        </w:tc>
        <w:tc>
          <w:tcPr>
            <w:tcW w:w="2941" w:type="dxa"/>
          </w:tcPr>
          <w:p w14:paraId="55C3B0D5" w14:textId="77777777" w:rsidR="00422B69" w:rsidRPr="009D52D0" w:rsidRDefault="00422B69" w:rsidP="009D52D0">
            <w:pPr>
              <w:spacing w:after="120"/>
              <w:ind w:right="543"/>
              <w:rPr>
                <w:rFonts w:ascii="Arial" w:hAnsi="Arial" w:cs="Arial"/>
                <w:sz w:val="20"/>
                <w:szCs w:val="20"/>
              </w:rPr>
            </w:pPr>
          </w:p>
        </w:tc>
      </w:tr>
      <w:tr w:rsidR="00302082" w:rsidRPr="009D52D0" w14:paraId="325FAF14" w14:textId="77777777" w:rsidTr="00A13526">
        <w:trPr>
          <w:trHeight w:val="305"/>
        </w:trPr>
        <w:tc>
          <w:tcPr>
            <w:tcW w:w="1593" w:type="dxa"/>
          </w:tcPr>
          <w:p w14:paraId="42FA6B2D" w14:textId="77777777" w:rsidR="00422B69" w:rsidRPr="009D52D0" w:rsidRDefault="00422B69" w:rsidP="009D52D0">
            <w:pPr>
              <w:spacing w:after="120"/>
              <w:ind w:right="543"/>
              <w:rPr>
                <w:rFonts w:ascii="Arial" w:hAnsi="Arial" w:cs="Arial"/>
                <w:sz w:val="20"/>
                <w:szCs w:val="20"/>
              </w:rPr>
            </w:pPr>
          </w:p>
        </w:tc>
        <w:tc>
          <w:tcPr>
            <w:tcW w:w="1815" w:type="dxa"/>
          </w:tcPr>
          <w:p w14:paraId="1BEE66C8" w14:textId="77777777" w:rsidR="00422B69" w:rsidRPr="009D52D0" w:rsidRDefault="00422B69" w:rsidP="009D52D0">
            <w:pPr>
              <w:spacing w:after="120"/>
              <w:ind w:right="543"/>
              <w:rPr>
                <w:rFonts w:ascii="Arial" w:hAnsi="Arial" w:cs="Arial"/>
                <w:sz w:val="20"/>
                <w:szCs w:val="20"/>
              </w:rPr>
            </w:pPr>
          </w:p>
        </w:tc>
        <w:tc>
          <w:tcPr>
            <w:tcW w:w="1974" w:type="dxa"/>
          </w:tcPr>
          <w:p w14:paraId="23E9BA6F" w14:textId="77777777" w:rsidR="00422B69" w:rsidRPr="009D52D0" w:rsidRDefault="00422B69" w:rsidP="009D52D0">
            <w:pPr>
              <w:spacing w:after="120"/>
              <w:ind w:right="543"/>
              <w:rPr>
                <w:rFonts w:ascii="Arial" w:hAnsi="Arial" w:cs="Arial"/>
                <w:sz w:val="20"/>
                <w:szCs w:val="20"/>
              </w:rPr>
            </w:pPr>
          </w:p>
        </w:tc>
        <w:tc>
          <w:tcPr>
            <w:tcW w:w="2359" w:type="dxa"/>
          </w:tcPr>
          <w:p w14:paraId="58A1FB81" w14:textId="77777777" w:rsidR="00422B69" w:rsidRPr="009D52D0" w:rsidRDefault="00422B69" w:rsidP="009D52D0">
            <w:pPr>
              <w:spacing w:after="120"/>
              <w:ind w:right="543"/>
              <w:rPr>
                <w:rFonts w:ascii="Arial" w:hAnsi="Arial" w:cs="Arial"/>
                <w:sz w:val="20"/>
                <w:szCs w:val="20"/>
              </w:rPr>
            </w:pPr>
          </w:p>
        </w:tc>
        <w:tc>
          <w:tcPr>
            <w:tcW w:w="2941" w:type="dxa"/>
          </w:tcPr>
          <w:p w14:paraId="593A7321" w14:textId="77777777" w:rsidR="00422B69" w:rsidRPr="009D52D0" w:rsidRDefault="00422B69" w:rsidP="009D52D0">
            <w:pPr>
              <w:spacing w:after="120"/>
              <w:ind w:right="543"/>
              <w:rPr>
                <w:rFonts w:ascii="Arial" w:hAnsi="Arial" w:cs="Arial"/>
                <w:sz w:val="20"/>
                <w:szCs w:val="20"/>
              </w:rPr>
            </w:pPr>
          </w:p>
        </w:tc>
      </w:tr>
    </w:tbl>
    <w:p w14:paraId="1BCC4FE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D9E1" w14:textId="77777777" w:rsidR="005722C8" w:rsidRDefault="005722C8" w:rsidP="009A2D37">
      <w:pPr>
        <w:spacing w:after="0" w:line="240" w:lineRule="auto"/>
      </w:pPr>
      <w:r>
        <w:separator/>
      </w:r>
    </w:p>
  </w:endnote>
  <w:endnote w:type="continuationSeparator" w:id="0">
    <w:p w14:paraId="530BA8F7" w14:textId="77777777" w:rsidR="005722C8" w:rsidRDefault="005722C8" w:rsidP="009A2D37">
      <w:pPr>
        <w:spacing w:after="0" w:line="240" w:lineRule="auto"/>
      </w:pPr>
      <w:r>
        <w:continuationSeparator/>
      </w:r>
    </w:p>
  </w:endnote>
  <w:endnote w:type="continuationNotice" w:id="1">
    <w:p w14:paraId="0E3C35AD" w14:textId="77777777" w:rsidR="005722C8" w:rsidRDefault="00572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22C4CF4"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589125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B28B36C"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237819BE"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5180555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2E475" w14:textId="77777777" w:rsidR="005722C8" w:rsidRDefault="005722C8" w:rsidP="009A2D37">
      <w:pPr>
        <w:spacing w:after="0" w:line="240" w:lineRule="auto"/>
      </w:pPr>
      <w:r>
        <w:separator/>
      </w:r>
    </w:p>
  </w:footnote>
  <w:footnote w:type="continuationSeparator" w:id="0">
    <w:p w14:paraId="3AA4B85C" w14:textId="77777777" w:rsidR="005722C8" w:rsidRDefault="005722C8" w:rsidP="009A2D37">
      <w:pPr>
        <w:spacing w:after="0" w:line="240" w:lineRule="auto"/>
      </w:pPr>
      <w:r>
        <w:continuationSeparator/>
      </w:r>
    </w:p>
  </w:footnote>
  <w:footnote w:type="continuationNotice" w:id="1">
    <w:p w14:paraId="5705CC4E" w14:textId="77777777" w:rsidR="005722C8" w:rsidRDefault="00572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D6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CBA3E4" w14:textId="77777777" w:rsidR="008B2543" w:rsidRPr="008C00F8" w:rsidRDefault="008B2543" w:rsidP="005E6D38">
    <w:pPr>
      <w:pStyle w:val="Heading1"/>
      <w:spacing w:before="60" w:after="60"/>
      <w:rPr>
        <w:rFonts w:ascii="Arial" w:hAnsi="Arial" w:cs="Arial"/>
      </w:rPr>
    </w:pPr>
  </w:p>
  <w:p w14:paraId="6E5B1AF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73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F837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A217D3"/>
    <w:multiLevelType w:val="hybridMultilevel"/>
    <w:tmpl w:val="6700CA6C"/>
    <w:lvl w:ilvl="0" w:tplc="05C6D3FA">
      <w:start w:val="1"/>
      <w:numFmt w:val="bullet"/>
      <w:lvlText w:val=""/>
      <w:lvlJc w:val="left"/>
      <w:pPr>
        <w:tabs>
          <w:tab w:val="num" w:pos="420"/>
        </w:tabs>
        <w:ind w:left="400" w:hanging="34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8154D9"/>
    <w:multiLevelType w:val="hybridMultilevel"/>
    <w:tmpl w:val="BD12F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AB5"/>
    <w:rsid w:val="00045373"/>
    <w:rsid w:val="00063A2F"/>
    <w:rsid w:val="000678D3"/>
    <w:rsid w:val="0009374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9F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4C2"/>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A39"/>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2C8"/>
    <w:rsid w:val="005759F4"/>
    <w:rsid w:val="005779D1"/>
    <w:rsid w:val="0058041A"/>
    <w:rsid w:val="0058743D"/>
    <w:rsid w:val="00587BF7"/>
    <w:rsid w:val="00592034"/>
    <w:rsid w:val="0059477B"/>
    <w:rsid w:val="00596884"/>
    <w:rsid w:val="005A14B5"/>
    <w:rsid w:val="005B151B"/>
    <w:rsid w:val="005B2F01"/>
    <w:rsid w:val="005B5A98"/>
    <w:rsid w:val="005B735F"/>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D4E"/>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0960"/>
    <w:rsid w:val="006F1A15"/>
    <w:rsid w:val="006F3F8B"/>
    <w:rsid w:val="00700488"/>
    <w:rsid w:val="007012EC"/>
    <w:rsid w:val="00703404"/>
    <w:rsid w:val="00703F92"/>
    <w:rsid w:val="00704637"/>
    <w:rsid w:val="007105E4"/>
    <w:rsid w:val="00710647"/>
    <w:rsid w:val="00714EE5"/>
    <w:rsid w:val="00720270"/>
    <w:rsid w:val="00724362"/>
    <w:rsid w:val="00727780"/>
    <w:rsid w:val="0073792C"/>
    <w:rsid w:val="00754069"/>
    <w:rsid w:val="0075555F"/>
    <w:rsid w:val="00765363"/>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6FDE"/>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BD3"/>
    <w:rsid w:val="00C46912"/>
    <w:rsid w:val="00C612A8"/>
    <w:rsid w:val="00C618D2"/>
    <w:rsid w:val="00C67631"/>
    <w:rsid w:val="00C709C6"/>
    <w:rsid w:val="00C729D7"/>
    <w:rsid w:val="00C81F2A"/>
    <w:rsid w:val="00C83354"/>
    <w:rsid w:val="00C84004"/>
    <w:rsid w:val="00C843F6"/>
    <w:rsid w:val="00C84507"/>
    <w:rsid w:val="00C862C7"/>
    <w:rsid w:val="00C866AE"/>
    <w:rsid w:val="00CA3254"/>
    <w:rsid w:val="00CB11CE"/>
    <w:rsid w:val="00CB7FC3"/>
    <w:rsid w:val="00CC25A2"/>
    <w:rsid w:val="00CC69C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4BFE"/>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00FF"/>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587D"/>
    <w:rsid w:val="00F527CB"/>
    <w:rsid w:val="00F562AA"/>
    <w:rsid w:val="00F66975"/>
    <w:rsid w:val="00F7105A"/>
    <w:rsid w:val="00F7710E"/>
    <w:rsid w:val="00F77676"/>
    <w:rsid w:val="00F8197C"/>
    <w:rsid w:val="00F82B4E"/>
    <w:rsid w:val="00F85409"/>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54CD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7653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BodyText2">
    <w:name w:val="Body Text 2"/>
    <w:basedOn w:val="Normal"/>
    <w:link w:val="BodyText2Char"/>
    <w:uiPriority w:val="99"/>
    <w:unhideWhenUsed/>
    <w:rsid w:val="001719F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1719FB"/>
    <w:rPr>
      <w:rFonts w:ascii="Calibri" w:eastAsia="Times New Roman" w:hAnsi="Calibri" w:cs="Times New Roman"/>
      <w:lang w:eastAsia="en-GB"/>
    </w:rPr>
  </w:style>
  <w:style w:type="paragraph" w:styleId="Revision">
    <w:name w:val="Revision"/>
    <w:hidden/>
    <w:uiPriority w:val="99"/>
    <w:semiHidden/>
    <w:rsid w:val="00466A39"/>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765363"/>
    <w:rPr>
      <w:rFonts w:asciiTheme="majorHAnsi" w:eastAsiaTheme="majorEastAsia" w:hAnsiTheme="majorHAnsi" w:cstheme="majorBidi"/>
      <w:i/>
      <w:iCs/>
      <w:color w:val="365F91" w:themeColor="accent1" w:themeShade="BF"/>
      <w:lang w:eastAsia="en-GB"/>
    </w:rPr>
  </w:style>
  <w:style w:type="character" w:customStyle="1" w:styleId="apple-converted-space">
    <w:name w:val="apple-converted-space"/>
    <w:basedOn w:val="DefaultParagraphFont"/>
    <w:rsid w:val="0076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720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55B8A98E-5FD5-429E-B510-7BA7ACB3BEAF}"/>
</file>

<file path=customXml/itemProps3.xml><?xml version="1.0" encoding="utf-8"?>
<ds:datastoreItem xmlns:ds="http://schemas.openxmlformats.org/officeDocument/2006/customXml" ds:itemID="{89DE106C-8B8D-4DA7-8A2B-B4342E878C39}"/>
</file>

<file path=customXml/itemProps4.xml><?xml version="1.0" encoding="utf-8"?>
<ds:datastoreItem xmlns:ds="http://schemas.openxmlformats.org/officeDocument/2006/customXml" ds:itemID="{138A2846-DE4F-4047-88C2-D07600A2CD2E}"/>
</file>

<file path=docProps/app.xml><?xml version="1.0" encoding="utf-8"?>
<Properties xmlns="http://schemas.openxmlformats.org/officeDocument/2006/extended-properties" xmlns:vt="http://schemas.openxmlformats.org/officeDocument/2006/docPropsVTypes">
  <Template>Normal</Template>
  <TotalTime>8</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Hunt, Alyson (a.hunt490@canterbury.ac.uk)</cp:lastModifiedBy>
  <cp:revision>3</cp:revision>
  <cp:lastPrinted>2019-02-26T09:40:00Z</cp:lastPrinted>
  <dcterms:created xsi:type="dcterms:W3CDTF">2020-12-03T17:22:00Z</dcterms:created>
  <dcterms:modified xsi:type="dcterms:W3CDTF">2021-01-15T16:29:00Z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_dlc_DocIdItemGuid">
    <vt:lpwstr>939f9dd0-9684-4bf1-bd21-938746b1b43a</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