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6FDB0" w14:textId="77777777" w:rsidR="009A2D37" w:rsidRPr="00302082" w:rsidRDefault="009A2D37" w:rsidP="005219EF">
      <w:pPr>
        <w:numPr>
          <w:ilvl w:val="0"/>
          <w:numId w:val="1"/>
        </w:numPr>
        <w:spacing w:after="120" w:line="240" w:lineRule="auto"/>
        <w:ind w:left="567" w:right="260" w:hanging="567"/>
        <w:jc w:val="both"/>
        <w:rPr>
          <w:rFonts w:ascii="Arial" w:hAnsi="Arial" w:cs="Arial"/>
          <w:b/>
        </w:rPr>
      </w:pPr>
      <w:r w:rsidRPr="00302082">
        <w:rPr>
          <w:rFonts w:ascii="Arial" w:hAnsi="Arial" w:cs="Arial"/>
          <w:b/>
        </w:rPr>
        <w:t>Title of the module</w:t>
      </w:r>
    </w:p>
    <w:p w14:paraId="6DCF2938" w14:textId="77777777" w:rsidR="009A2D37" w:rsidRPr="000C0F2E" w:rsidRDefault="000C0F2E" w:rsidP="005219EF">
      <w:pPr>
        <w:spacing w:after="120" w:line="240" w:lineRule="auto"/>
        <w:ind w:left="567" w:right="260"/>
        <w:jc w:val="both"/>
        <w:rPr>
          <w:rFonts w:ascii="Arial" w:hAnsi="Arial" w:cs="Arial"/>
          <w:iCs/>
        </w:rPr>
      </w:pPr>
      <w:r>
        <w:rPr>
          <w:rFonts w:ascii="Arial" w:hAnsi="Arial" w:cs="Arial"/>
        </w:rPr>
        <w:t>J</w:t>
      </w:r>
      <w:r w:rsidR="00AE1520" w:rsidRPr="00AE1520">
        <w:rPr>
          <w:rFonts w:ascii="Arial" w:hAnsi="Arial" w:cs="Arial"/>
        </w:rPr>
        <w:t>OUR6040 (JN604)</w:t>
      </w:r>
      <w:r w:rsidR="0010753E">
        <w:rPr>
          <w:rFonts w:ascii="Arial" w:hAnsi="Arial" w:cs="Arial"/>
        </w:rPr>
        <w:t xml:space="preserve"> British Public Affairs</w:t>
      </w:r>
    </w:p>
    <w:p w14:paraId="3F6D32D8" w14:textId="77777777" w:rsidR="009A2D37" w:rsidRPr="00302082" w:rsidRDefault="009A2D37" w:rsidP="005219EF">
      <w:pPr>
        <w:spacing w:after="120" w:line="240" w:lineRule="auto"/>
        <w:ind w:left="426" w:right="260"/>
        <w:jc w:val="both"/>
        <w:rPr>
          <w:rFonts w:ascii="Arial" w:hAnsi="Arial" w:cs="Arial"/>
        </w:rPr>
      </w:pPr>
    </w:p>
    <w:p w14:paraId="5B4458B7" w14:textId="77777777" w:rsidR="009A2D37" w:rsidRPr="00302082" w:rsidRDefault="005219EF" w:rsidP="005219EF">
      <w:pPr>
        <w:numPr>
          <w:ilvl w:val="0"/>
          <w:numId w:val="1"/>
        </w:numPr>
        <w:spacing w:after="120" w:line="240" w:lineRule="auto"/>
        <w:ind w:left="567" w:right="260" w:hanging="567"/>
        <w:jc w:val="both"/>
        <w:rPr>
          <w:rFonts w:ascii="Arial" w:hAnsi="Arial" w:cs="Arial"/>
          <w:b/>
        </w:rPr>
      </w:pPr>
      <w:r>
        <w:rPr>
          <w:rFonts w:ascii="Arial" w:hAnsi="Arial" w:cs="Arial"/>
          <w:b/>
        </w:rPr>
        <w:t>Division</w:t>
      </w:r>
      <w:r w:rsidR="009A2D37" w:rsidRPr="00302082">
        <w:rPr>
          <w:rFonts w:ascii="Arial" w:hAnsi="Arial" w:cs="Arial"/>
          <w:b/>
        </w:rPr>
        <w:t xml:space="preserve"> or partner institution which will be responsible for management of the module</w:t>
      </w:r>
    </w:p>
    <w:p w14:paraId="680C52EC" w14:textId="77777777" w:rsidR="009A2D37" w:rsidRPr="0010753E" w:rsidRDefault="005219EF" w:rsidP="005219EF">
      <w:pPr>
        <w:spacing w:after="120" w:line="240" w:lineRule="auto"/>
        <w:ind w:left="567" w:right="260"/>
        <w:jc w:val="both"/>
        <w:rPr>
          <w:rFonts w:ascii="Arial" w:hAnsi="Arial" w:cs="Arial"/>
          <w:iCs/>
        </w:rPr>
      </w:pPr>
      <w:r>
        <w:rPr>
          <w:rFonts w:ascii="Arial" w:hAnsi="Arial" w:cs="Arial"/>
          <w:iCs/>
        </w:rPr>
        <w:t xml:space="preserve">Law, Society and Social Justice: </w:t>
      </w:r>
      <w:r w:rsidR="0010753E">
        <w:rPr>
          <w:rFonts w:ascii="Arial" w:hAnsi="Arial" w:cs="Arial"/>
          <w:iCs/>
        </w:rPr>
        <w:t>Centre for Journalism</w:t>
      </w:r>
    </w:p>
    <w:p w14:paraId="3BD61DE6" w14:textId="77777777" w:rsidR="009A2D37" w:rsidRPr="00302082" w:rsidRDefault="009A2D37" w:rsidP="005219EF">
      <w:pPr>
        <w:spacing w:after="120" w:line="240" w:lineRule="auto"/>
        <w:ind w:left="426" w:right="260"/>
        <w:jc w:val="both"/>
        <w:rPr>
          <w:rFonts w:ascii="Arial" w:hAnsi="Arial" w:cs="Arial"/>
          <w:i/>
          <w:iCs/>
        </w:rPr>
      </w:pPr>
    </w:p>
    <w:p w14:paraId="2045C531" w14:textId="77777777" w:rsidR="009A2D37" w:rsidRPr="00302082" w:rsidRDefault="00883204" w:rsidP="005219EF">
      <w:pPr>
        <w:numPr>
          <w:ilvl w:val="0"/>
          <w:numId w:val="1"/>
        </w:numPr>
        <w:spacing w:after="120" w:line="240" w:lineRule="auto"/>
        <w:ind w:left="567" w:right="260" w:hanging="567"/>
        <w:jc w:val="both"/>
        <w:rPr>
          <w:rFonts w:ascii="Arial" w:hAnsi="Arial" w:cs="Arial"/>
          <w:b/>
        </w:rPr>
      </w:pPr>
      <w:r>
        <w:rPr>
          <w:rFonts w:ascii="Arial" w:hAnsi="Arial" w:cs="Arial"/>
          <w:b/>
        </w:rPr>
        <w:t>The level of the module (</w:t>
      </w:r>
      <w:r w:rsidR="00D83563" w:rsidRPr="00302082">
        <w:rPr>
          <w:rFonts w:ascii="Arial" w:hAnsi="Arial" w:cs="Arial"/>
          <w:b/>
        </w:rPr>
        <w:t>Level</w:t>
      </w:r>
      <w:r w:rsidR="00441E76" w:rsidRPr="00302082">
        <w:rPr>
          <w:rFonts w:ascii="Arial" w:hAnsi="Arial" w:cs="Arial"/>
          <w:b/>
        </w:rPr>
        <w:t xml:space="preserve"> 4</w:t>
      </w:r>
      <w:r w:rsidR="001D0C7D" w:rsidRPr="00302082">
        <w:rPr>
          <w:rFonts w:ascii="Arial" w:hAnsi="Arial" w:cs="Arial"/>
          <w:b/>
        </w:rPr>
        <w:t xml:space="preserve">, </w:t>
      </w:r>
      <w:r w:rsidR="00441E76" w:rsidRPr="00302082">
        <w:rPr>
          <w:rFonts w:ascii="Arial" w:hAnsi="Arial" w:cs="Arial"/>
          <w:b/>
        </w:rPr>
        <w:t>Level 5</w:t>
      </w:r>
      <w:r w:rsidR="001D0C7D" w:rsidRPr="00302082">
        <w:rPr>
          <w:rFonts w:ascii="Arial" w:hAnsi="Arial" w:cs="Arial"/>
          <w:b/>
        </w:rPr>
        <w:t xml:space="preserve">, </w:t>
      </w:r>
      <w:r w:rsidR="00441E76" w:rsidRPr="00302082">
        <w:rPr>
          <w:rFonts w:ascii="Arial" w:hAnsi="Arial" w:cs="Arial"/>
          <w:b/>
        </w:rPr>
        <w:t>Level 6</w:t>
      </w:r>
      <w:r w:rsidR="001D0C7D" w:rsidRPr="00302082">
        <w:rPr>
          <w:rFonts w:ascii="Arial" w:hAnsi="Arial" w:cs="Arial"/>
          <w:b/>
        </w:rPr>
        <w:t xml:space="preserve"> or </w:t>
      </w:r>
      <w:r w:rsidR="00C612A8" w:rsidRPr="00302082">
        <w:rPr>
          <w:rFonts w:ascii="Arial" w:hAnsi="Arial" w:cs="Arial"/>
          <w:b/>
        </w:rPr>
        <w:t>L</w:t>
      </w:r>
      <w:r w:rsidR="00441E76" w:rsidRPr="00302082">
        <w:rPr>
          <w:rFonts w:ascii="Arial" w:hAnsi="Arial" w:cs="Arial"/>
          <w:b/>
        </w:rPr>
        <w:t>evel 7</w:t>
      </w:r>
      <w:r w:rsidR="009A2D37" w:rsidRPr="00302082">
        <w:rPr>
          <w:rFonts w:ascii="Arial" w:hAnsi="Arial" w:cs="Arial"/>
          <w:b/>
        </w:rPr>
        <w:t>)</w:t>
      </w:r>
    </w:p>
    <w:p w14:paraId="2FAAAAF7" w14:textId="77777777" w:rsidR="009A2D37" w:rsidRPr="0010753E" w:rsidRDefault="0010753E" w:rsidP="005219EF">
      <w:pPr>
        <w:spacing w:after="120" w:line="240" w:lineRule="auto"/>
        <w:ind w:left="567" w:right="260"/>
        <w:jc w:val="both"/>
        <w:rPr>
          <w:rFonts w:ascii="Arial" w:hAnsi="Arial" w:cs="Arial"/>
        </w:rPr>
      </w:pPr>
      <w:r>
        <w:rPr>
          <w:rFonts w:ascii="Arial" w:hAnsi="Arial" w:cs="Arial"/>
        </w:rPr>
        <w:t>Level 6</w:t>
      </w:r>
    </w:p>
    <w:p w14:paraId="416D881E" w14:textId="77777777" w:rsidR="009A2D37" w:rsidRPr="00302082" w:rsidRDefault="009A2D37" w:rsidP="005219EF">
      <w:pPr>
        <w:spacing w:after="120" w:line="240" w:lineRule="auto"/>
        <w:ind w:left="426" w:right="260"/>
        <w:jc w:val="both"/>
        <w:rPr>
          <w:rFonts w:ascii="Arial" w:hAnsi="Arial" w:cs="Arial"/>
          <w:i/>
          <w:iCs/>
        </w:rPr>
      </w:pPr>
    </w:p>
    <w:p w14:paraId="220BBE31" w14:textId="77777777" w:rsidR="009A2D37" w:rsidRPr="00302082" w:rsidRDefault="009A2D37" w:rsidP="005219EF">
      <w:pPr>
        <w:numPr>
          <w:ilvl w:val="0"/>
          <w:numId w:val="1"/>
        </w:numPr>
        <w:spacing w:after="120" w:line="240" w:lineRule="auto"/>
        <w:ind w:left="567" w:right="260" w:hanging="567"/>
        <w:jc w:val="both"/>
        <w:rPr>
          <w:rFonts w:ascii="Arial" w:hAnsi="Arial" w:cs="Arial"/>
          <w:b/>
        </w:rPr>
      </w:pPr>
      <w:r w:rsidRPr="00302082">
        <w:rPr>
          <w:rFonts w:ascii="Arial" w:hAnsi="Arial" w:cs="Arial"/>
          <w:b/>
        </w:rPr>
        <w:t xml:space="preserve">The number of credits and the ECTS value which the module represents </w:t>
      </w:r>
    </w:p>
    <w:p w14:paraId="378C28BB" w14:textId="77777777" w:rsidR="009A2D37" w:rsidRPr="0010753E" w:rsidRDefault="009A2D37" w:rsidP="005219EF">
      <w:pPr>
        <w:pStyle w:val="NormalWeb"/>
        <w:spacing w:before="0" w:beforeAutospacing="0" w:after="120" w:afterAutospacing="0"/>
        <w:ind w:left="567" w:right="260"/>
        <w:jc w:val="both"/>
        <w:rPr>
          <w:rFonts w:ascii="Arial" w:hAnsi="Arial" w:cs="Arial"/>
          <w:sz w:val="22"/>
          <w:szCs w:val="22"/>
        </w:rPr>
      </w:pPr>
      <w:r w:rsidRPr="0010753E">
        <w:rPr>
          <w:rFonts w:ascii="Arial" w:hAnsi="Arial" w:cs="Arial"/>
          <w:sz w:val="22"/>
          <w:szCs w:val="22"/>
        </w:rPr>
        <w:t>15 credits (7.5 ECTS)</w:t>
      </w:r>
    </w:p>
    <w:p w14:paraId="170359FD" w14:textId="77777777" w:rsidR="009A2D37" w:rsidRPr="0010753E" w:rsidRDefault="009A2D37" w:rsidP="005219EF">
      <w:pPr>
        <w:spacing w:after="120" w:line="240" w:lineRule="auto"/>
        <w:ind w:left="426" w:right="260"/>
        <w:jc w:val="both"/>
        <w:rPr>
          <w:rFonts w:ascii="Arial" w:hAnsi="Arial" w:cs="Arial"/>
        </w:rPr>
      </w:pPr>
    </w:p>
    <w:p w14:paraId="76A00065" w14:textId="77777777" w:rsidR="009A2D37" w:rsidRPr="00302082" w:rsidRDefault="009A2D37" w:rsidP="005219EF">
      <w:pPr>
        <w:numPr>
          <w:ilvl w:val="0"/>
          <w:numId w:val="1"/>
        </w:numPr>
        <w:spacing w:after="120" w:line="240" w:lineRule="auto"/>
        <w:ind w:left="567" w:right="260" w:hanging="567"/>
        <w:jc w:val="both"/>
        <w:rPr>
          <w:rFonts w:ascii="Arial" w:hAnsi="Arial" w:cs="Arial"/>
          <w:b/>
        </w:rPr>
      </w:pPr>
      <w:r w:rsidRPr="00302082">
        <w:rPr>
          <w:rFonts w:ascii="Arial" w:hAnsi="Arial" w:cs="Arial"/>
          <w:b/>
        </w:rPr>
        <w:t>Which term(s) the module is to be taught in (or other teaching pattern)</w:t>
      </w:r>
    </w:p>
    <w:p w14:paraId="733C1973" w14:textId="77777777" w:rsidR="009A2D37" w:rsidRPr="0010753E" w:rsidRDefault="0010753E" w:rsidP="005219EF">
      <w:pPr>
        <w:spacing w:after="120" w:line="240" w:lineRule="auto"/>
        <w:ind w:left="567" w:right="260"/>
        <w:jc w:val="both"/>
        <w:rPr>
          <w:rFonts w:ascii="Arial" w:hAnsi="Arial" w:cs="Arial"/>
          <w:iCs/>
        </w:rPr>
      </w:pPr>
      <w:r>
        <w:rPr>
          <w:rFonts w:ascii="Arial" w:hAnsi="Arial" w:cs="Arial"/>
          <w:iCs/>
        </w:rPr>
        <w:t>Autumn and Spring</w:t>
      </w:r>
    </w:p>
    <w:p w14:paraId="63A94D3B" w14:textId="77777777" w:rsidR="009A2D37" w:rsidRPr="00302082" w:rsidRDefault="009A2D37" w:rsidP="005219EF">
      <w:pPr>
        <w:spacing w:after="120" w:line="240" w:lineRule="auto"/>
        <w:ind w:left="426" w:right="260"/>
        <w:jc w:val="both"/>
        <w:rPr>
          <w:rFonts w:ascii="Arial" w:hAnsi="Arial" w:cs="Arial"/>
          <w:i/>
          <w:iCs/>
        </w:rPr>
      </w:pPr>
    </w:p>
    <w:p w14:paraId="7104C565" w14:textId="330EBCA9" w:rsidR="009A2D37" w:rsidRPr="00302082" w:rsidRDefault="009A2D37" w:rsidP="005219EF">
      <w:pPr>
        <w:numPr>
          <w:ilvl w:val="0"/>
          <w:numId w:val="1"/>
        </w:numPr>
        <w:spacing w:after="120" w:line="240" w:lineRule="auto"/>
        <w:ind w:left="567" w:right="260" w:hanging="567"/>
        <w:jc w:val="both"/>
        <w:rPr>
          <w:rFonts w:ascii="Arial" w:hAnsi="Arial" w:cs="Arial"/>
          <w:b/>
        </w:rPr>
      </w:pPr>
      <w:r w:rsidRPr="00302082">
        <w:rPr>
          <w:rFonts w:ascii="Arial" w:hAnsi="Arial" w:cs="Arial"/>
          <w:b/>
        </w:rPr>
        <w:t>Prerequisite and co-requisite modules</w:t>
      </w:r>
      <w:r w:rsidR="000356CF">
        <w:rPr>
          <w:rFonts w:ascii="Arial" w:hAnsi="Arial" w:cs="Arial"/>
          <w:b/>
        </w:rPr>
        <w:t xml:space="preserve"> and/or module restrictions</w:t>
      </w:r>
    </w:p>
    <w:p w14:paraId="5F15A249" w14:textId="77777777" w:rsidR="009A2D37" w:rsidRPr="0010753E" w:rsidRDefault="0010753E" w:rsidP="005219EF">
      <w:pPr>
        <w:spacing w:after="120" w:line="240" w:lineRule="auto"/>
        <w:ind w:left="567" w:right="260"/>
        <w:jc w:val="both"/>
        <w:rPr>
          <w:rFonts w:ascii="Arial" w:hAnsi="Arial" w:cs="Arial"/>
          <w:iCs/>
        </w:rPr>
      </w:pPr>
      <w:r>
        <w:rPr>
          <w:rFonts w:ascii="Arial" w:hAnsi="Arial" w:cs="Arial"/>
          <w:iCs/>
        </w:rPr>
        <w:t>None</w:t>
      </w:r>
    </w:p>
    <w:p w14:paraId="5BFFA841" w14:textId="77777777" w:rsidR="009A2D37" w:rsidRPr="00302082" w:rsidRDefault="009A2D37" w:rsidP="005219EF">
      <w:pPr>
        <w:spacing w:after="120" w:line="240" w:lineRule="auto"/>
        <w:ind w:left="426" w:right="260"/>
        <w:jc w:val="both"/>
        <w:rPr>
          <w:rFonts w:ascii="Arial" w:hAnsi="Arial" w:cs="Arial"/>
          <w:i/>
          <w:iCs/>
        </w:rPr>
      </w:pPr>
    </w:p>
    <w:p w14:paraId="79E6A85E" w14:textId="77777777" w:rsidR="009A2D37" w:rsidRPr="00302082" w:rsidRDefault="009A2D37" w:rsidP="005219EF">
      <w:pPr>
        <w:numPr>
          <w:ilvl w:val="0"/>
          <w:numId w:val="1"/>
        </w:numPr>
        <w:spacing w:after="120" w:line="240" w:lineRule="auto"/>
        <w:ind w:left="567" w:right="260" w:hanging="567"/>
        <w:jc w:val="both"/>
        <w:rPr>
          <w:rFonts w:ascii="Arial" w:hAnsi="Arial" w:cs="Arial"/>
          <w:b/>
        </w:rPr>
      </w:pPr>
      <w:r w:rsidRPr="00302082">
        <w:rPr>
          <w:rFonts w:ascii="Arial" w:hAnsi="Arial" w:cs="Arial"/>
          <w:b/>
        </w:rPr>
        <w:t>The programmes of study to which the module contributes</w:t>
      </w:r>
    </w:p>
    <w:p w14:paraId="20D6076D" w14:textId="77777777" w:rsidR="00E233C1" w:rsidRPr="0010753E" w:rsidRDefault="0010753E" w:rsidP="005219EF">
      <w:pPr>
        <w:spacing w:after="120" w:line="240" w:lineRule="auto"/>
        <w:ind w:left="567" w:right="260"/>
        <w:jc w:val="both"/>
        <w:rPr>
          <w:rFonts w:ascii="Arial" w:hAnsi="Arial" w:cs="Arial"/>
        </w:rPr>
      </w:pPr>
      <w:r>
        <w:rPr>
          <w:rFonts w:ascii="Arial" w:hAnsi="Arial" w:cs="Arial"/>
          <w:iCs/>
        </w:rPr>
        <w:t>Year in Journalism</w:t>
      </w:r>
      <w:r w:rsidR="005219EF">
        <w:rPr>
          <w:rFonts w:ascii="Arial" w:hAnsi="Arial" w:cs="Arial"/>
          <w:iCs/>
        </w:rPr>
        <w:t xml:space="preserve"> – compulsory module</w:t>
      </w:r>
    </w:p>
    <w:p w14:paraId="4DE79C04" w14:textId="77777777" w:rsidR="009A2D37" w:rsidRPr="00302082" w:rsidRDefault="009A2D37" w:rsidP="005219EF">
      <w:pPr>
        <w:spacing w:after="120" w:line="240" w:lineRule="auto"/>
        <w:ind w:left="426" w:right="260"/>
        <w:jc w:val="both"/>
        <w:rPr>
          <w:rFonts w:ascii="Arial" w:hAnsi="Arial" w:cs="Arial"/>
          <w:i/>
          <w:iCs/>
        </w:rPr>
      </w:pPr>
    </w:p>
    <w:p w14:paraId="495920DE" w14:textId="77777777" w:rsidR="009A2D37" w:rsidRPr="00302082" w:rsidRDefault="009A2D37" w:rsidP="005219EF">
      <w:pPr>
        <w:numPr>
          <w:ilvl w:val="0"/>
          <w:numId w:val="1"/>
        </w:numPr>
        <w:spacing w:after="120" w:line="240" w:lineRule="auto"/>
        <w:ind w:left="567" w:right="260" w:hanging="567"/>
        <w:rPr>
          <w:rFonts w:ascii="Arial" w:hAnsi="Arial" w:cs="Arial"/>
          <w:b/>
        </w:rPr>
      </w:pPr>
      <w:r w:rsidRPr="00302082">
        <w:rPr>
          <w:rFonts w:ascii="Arial" w:hAnsi="Arial" w:cs="Arial"/>
          <w:b/>
        </w:rPr>
        <w:t>The intended subject specific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7B4EAF33" w14:textId="77777777" w:rsidR="009A2D37" w:rsidRPr="00FE4856" w:rsidRDefault="00FE4856" w:rsidP="005219EF">
      <w:pPr>
        <w:pStyle w:val="ListParagraph"/>
        <w:numPr>
          <w:ilvl w:val="0"/>
          <w:numId w:val="10"/>
        </w:numPr>
        <w:spacing w:after="120" w:line="240" w:lineRule="auto"/>
        <w:ind w:right="260"/>
        <w:jc w:val="both"/>
        <w:rPr>
          <w:rFonts w:ascii="Arial" w:hAnsi="Arial" w:cs="Arial"/>
        </w:rPr>
      </w:pPr>
      <w:r w:rsidRPr="00FE4856">
        <w:rPr>
          <w:rFonts w:ascii="Arial" w:hAnsi="Arial" w:cs="Arial"/>
        </w:rPr>
        <w:t>Show detailed understanding of the basic principles of the British constitution, the functions of Britain’s national political institutions and their role in delivering accountable and representative outcomes</w:t>
      </w:r>
    </w:p>
    <w:p w14:paraId="14A42D78" w14:textId="77777777" w:rsidR="00FE4856" w:rsidRDefault="00FE4856" w:rsidP="005219EF">
      <w:pPr>
        <w:pStyle w:val="ListParagraph"/>
        <w:numPr>
          <w:ilvl w:val="0"/>
          <w:numId w:val="10"/>
        </w:numPr>
        <w:spacing w:after="120" w:line="240" w:lineRule="auto"/>
        <w:ind w:right="260"/>
        <w:jc w:val="both"/>
        <w:rPr>
          <w:rFonts w:ascii="Arial" w:hAnsi="Arial" w:cs="Arial"/>
        </w:rPr>
      </w:pPr>
      <w:r>
        <w:rPr>
          <w:rFonts w:ascii="Arial" w:hAnsi="Arial" w:cs="Arial"/>
        </w:rPr>
        <w:t>Demonstrate a comprehensive understanding of the electoral process, comparative electoral systems and the key issues facing electoral participation in a modern democracy</w:t>
      </w:r>
    </w:p>
    <w:p w14:paraId="79710478" w14:textId="77777777" w:rsidR="00FE4856" w:rsidRDefault="00FE4856" w:rsidP="005219EF">
      <w:pPr>
        <w:pStyle w:val="ListParagraph"/>
        <w:numPr>
          <w:ilvl w:val="0"/>
          <w:numId w:val="10"/>
        </w:numPr>
        <w:spacing w:after="120" w:line="240" w:lineRule="auto"/>
        <w:ind w:right="260"/>
        <w:jc w:val="both"/>
        <w:rPr>
          <w:rFonts w:ascii="Arial" w:hAnsi="Arial" w:cs="Arial"/>
        </w:rPr>
      </w:pPr>
      <w:r w:rsidRPr="00A751F7">
        <w:rPr>
          <w:rFonts w:ascii="Arial" w:hAnsi="Arial" w:cs="Arial"/>
        </w:rPr>
        <w:t>Show familiarity with</w:t>
      </w:r>
      <w:r>
        <w:rPr>
          <w:rFonts w:ascii="Arial" w:hAnsi="Arial" w:cs="Arial"/>
        </w:rPr>
        <w:t xml:space="preserve"> how a range of approaches can be used to investigate how British political systems work, and with what success, and have some understanding of comparative systems</w:t>
      </w:r>
    </w:p>
    <w:p w14:paraId="7FC5726A" w14:textId="77777777" w:rsidR="00FE4856" w:rsidRDefault="00FE4856" w:rsidP="005219EF">
      <w:pPr>
        <w:pStyle w:val="ListParagraph"/>
        <w:numPr>
          <w:ilvl w:val="0"/>
          <w:numId w:val="10"/>
        </w:numPr>
        <w:spacing w:after="120" w:line="240" w:lineRule="auto"/>
        <w:ind w:right="260"/>
        <w:jc w:val="both"/>
        <w:rPr>
          <w:rFonts w:ascii="Arial" w:hAnsi="Arial" w:cs="Arial"/>
        </w:rPr>
      </w:pPr>
      <w:r>
        <w:rPr>
          <w:rFonts w:ascii="Arial" w:hAnsi="Arial" w:cs="Arial"/>
        </w:rPr>
        <w:t>Demonstrate a detailed understanding of the structure and financing of public services including the National Health Service and social services</w:t>
      </w:r>
    </w:p>
    <w:p w14:paraId="643D2A09" w14:textId="77777777" w:rsidR="009A2D37" w:rsidRPr="00302082" w:rsidRDefault="009A2D37" w:rsidP="005219EF">
      <w:pPr>
        <w:spacing w:after="120" w:line="240" w:lineRule="auto"/>
        <w:ind w:right="260"/>
        <w:jc w:val="both"/>
        <w:rPr>
          <w:rFonts w:ascii="Arial" w:hAnsi="Arial" w:cs="Arial"/>
          <w:i/>
        </w:rPr>
      </w:pPr>
    </w:p>
    <w:p w14:paraId="19827556" w14:textId="77777777" w:rsidR="00C729D7" w:rsidRPr="00302082" w:rsidRDefault="009A2D37" w:rsidP="005219EF">
      <w:pPr>
        <w:numPr>
          <w:ilvl w:val="0"/>
          <w:numId w:val="1"/>
        </w:numPr>
        <w:spacing w:after="120" w:line="240" w:lineRule="auto"/>
        <w:ind w:left="567" w:right="260" w:hanging="567"/>
        <w:rPr>
          <w:rFonts w:ascii="Arial" w:hAnsi="Arial" w:cs="Arial"/>
          <w:b/>
        </w:rPr>
      </w:pPr>
      <w:r w:rsidRPr="00302082">
        <w:rPr>
          <w:rFonts w:ascii="Arial" w:hAnsi="Arial" w:cs="Arial"/>
          <w:b/>
        </w:rPr>
        <w:t>The intended generic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3CDC2475" w14:textId="1E1C9E51" w:rsidR="009A2D37" w:rsidRPr="002B6775" w:rsidRDefault="000008EC" w:rsidP="005219EF">
      <w:pPr>
        <w:pStyle w:val="ListParagraph"/>
        <w:numPr>
          <w:ilvl w:val="0"/>
          <w:numId w:val="11"/>
        </w:numPr>
        <w:spacing w:after="120" w:line="240" w:lineRule="auto"/>
        <w:ind w:right="260"/>
        <w:jc w:val="both"/>
        <w:rPr>
          <w:rFonts w:ascii="Arial" w:hAnsi="Arial" w:cs="Arial"/>
        </w:rPr>
      </w:pPr>
      <w:r>
        <w:rPr>
          <w:rFonts w:ascii="Arial" w:hAnsi="Arial" w:cs="Arial"/>
        </w:rPr>
        <w:t xml:space="preserve">Gather, </w:t>
      </w:r>
      <w:proofErr w:type="gramStart"/>
      <w:r>
        <w:rPr>
          <w:rFonts w:ascii="Arial" w:hAnsi="Arial" w:cs="Arial"/>
        </w:rPr>
        <w:t>organise</w:t>
      </w:r>
      <w:proofErr w:type="gramEnd"/>
      <w:r>
        <w:rPr>
          <w:rFonts w:ascii="Arial" w:hAnsi="Arial" w:cs="Arial"/>
        </w:rPr>
        <w:t xml:space="preserve"> and deploy information in order to formulate arguments cogently and confidently</w:t>
      </w:r>
    </w:p>
    <w:p w14:paraId="646F6987" w14:textId="63482105" w:rsidR="002B6775" w:rsidRDefault="000008EC" w:rsidP="005219EF">
      <w:pPr>
        <w:pStyle w:val="ListParagraph"/>
        <w:numPr>
          <w:ilvl w:val="0"/>
          <w:numId w:val="11"/>
        </w:numPr>
        <w:spacing w:after="120" w:line="240" w:lineRule="auto"/>
        <w:ind w:right="260"/>
        <w:jc w:val="both"/>
        <w:rPr>
          <w:rFonts w:ascii="Arial" w:hAnsi="Arial" w:cs="Arial"/>
        </w:rPr>
      </w:pPr>
      <w:r>
        <w:rPr>
          <w:rFonts w:ascii="Arial" w:hAnsi="Arial" w:cs="Arial"/>
        </w:rPr>
        <w:t>Work confidently with abstract ideas and argue from competing perspectives</w:t>
      </w:r>
    </w:p>
    <w:p w14:paraId="213055C2" w14:textId="77777777" w:rsidR="002B6775" w:rsidRDefault="002B6775" w:rsidP="005219EF">
      <w:pPr>
        <w:pStyle w:val="ListParagraph"/>
        <w:numPr>
          <w:ilvl w:val="0"/>
          <w:numId w:val="11"/>
        </w:numPr>
        <w:spacing w:after="120" w:line="240" w:lineRule="auto"/>
        <w:ind w:right="260"/>
        <w:jc w:val="both"/>
        <w:rPr>
          <w:rFonts w:ascii="Arial" w:hAnsi="Arial" w:cs="Arial"/>
        </w:rPr>
      </w:pPr>
      <w:r>
        <w:rPr>
          <w:rFonts w:ascii="Arial" w:hAnsi="Arial" w:cs="Arial"/>
        </w:rPr>
        <w:t>Comprehensively implement research and writing skills in individual written work</w:t>
      </w:r>
    </w:p>
    <w:p w14:paraId="5656B4AA" w14:textId="77777777" w:rsidR="002B6775" w:rsidRDefault="002B6775" w:rsidP="005219EF">
      <w:pPr>
        <w:pStyle w:val="ListParagraph"/>
        <w:numPr>
          <w:ilvl w:val="0"/>
          <w:numId w:val="11"/>
        </w:numPr>
        <w:spacing w:after="120" w:line="240" w:lineRule="auto"/>
        <w:ind w:right="260"/>
        <w:jc w:val="both"/>
        <w:rPr>
          <w:rFonts w:ascii="Arial" w:hAnsi="Arial" w:cs="Arial"/>
        </w:rPr>
      </w:pPr>
      <w:r>
        <w:rPr>
          <w:rFonts w:ascii="Arial" w:hAnsi="Arial" w:cs="Arial"/>
        </w:rPr>
        <w:t>Exercise independent learning skills and organise study in an efficient and professional manner</w:t>
      </w:r>
    </w:p>
    <w:p w14:paraId="575DB8A5" w14:textId="77777777" w:rsidR="009A2D37" w:rsidRDefault="009A2D37" w:rsidP="005219EF">
      <w:pPr>
        <w:pStyle w:val="Default"/>
        <w:spacing w:after="120"/>
        <w:ind w:left="720" w:right="260"/>
        <w:jc w:val="both"/>
        <w:rPr>
          <w:color w:val="auto"/>
          <w:sz w:val="22"/>
          <w:szCs w:val="22"/>
        </w:rPr>
      </w:pPr>
    </w:p>
    <w:p w14:paraId="41817872" w14:textId="77777777" w:rsidR="009A2D37" w:rsidRPr="00302082" w:rsidRDefault="009A2D37" w:rsidP="005219EF">
      <w:pPr>
        <w:numPr>
          <w:ilvl w:val="0"/>
          <w:numId w:val="1"/>
        </w:numPr>
        <w:spacing w:after="120" w:line="240" w:lineRule="auto"/>
        <w:ind w:left="567" w:right="260" w:hanging="567"/>
        <w:jc w:val="both"/>
        <w:rPr>
          <w:rFonts w:ascii="Arial" w:hAnsi="Arial" w:cs="Arial"/>
          <w:b/>
        </w:rPr>
      </w:pPr>
      <w:r w:rsidRPr="00302082">
        <w:rPr>
          <w:rFonts w:ascii="Arial" w:hAnsi="Arial" w:cs="Arial"/>
          <w:b/>
        </w:rPr>
        <w:t>A synopsis of the curriculum</w:t>
      </w:r>
    </w:p>
    <w:p w14:paraId="1EF67379" w14:textId="77777777" w:rsidR="009A2D37" w:rsidRPr="002A7CA1" w:rsidRDefault="00520D29" w:rsidP="005219EF">
      <w:pPr>
        <w:spacing w:before="60" w:after="60" w:line="240" w:lineRule="auto"/>
        <w:ind w:left="567" w:right="260"/>
        <w:jc w:val="both"/>
        <w:rPr>
          <w:rFonts w:ascii="Arial" w:hAnsi="Arial" w:cs="Arial"/>
        </w:rPr>
      </w:pPr>
      <w:r>
        <w:rPr>
          <w:rFonts w:ascii="Arial" w:hAnsi="Arial" w:cs="Arial"/>
          <w:iCs/>
        </w:rPr>
        <w:t xml:space="preserve">This module </w:t>
      </w:r>
      <w:r w:rsidR="002A7CA1">
        <w:rPr>
          <w:rFonts w:ascii="Arial" w:hAnsi="Arial" w:cs="Arial"/>
          <w:iCs/>
        </w:rPr>
        <w:t xml:space="preserve">prepares journalists to hold power to account by developing a thorough understanding of the British political system, focusing on recent political and constitutional developments. </w:t>
      </w:r>
      <w:r w:rsidR="002A7CA1" w:rsidRPr="00700384">
        <w:rPr>
          <w:rFonts w:ascii="Arial" w:hAnsi="Arial" w:cs="Arial"/>
        </w:rPr>
        <w:t>It will investigate topics such as the roles of Parliament</w:t>
      </w:r>
      <w:r w:rsidR="002A7CA1">
        <w:rPr>
          <w:rFonts w:ascii="Arial" w:hAnsi="Arial" w:cs="Arial"/>
        </w:rPr>
        <w:t>,</w:t>
      </w:r>
      <w:r w:rsidR="002A7CA1" w:rsidRPr="00700384">
        <w:rPr>
          <w:rFonts w:ascii="Arial" w:hAnsi="Arial" w:cs="Arial"/>
        </w:rPr>
        <w:t xml:space="preserve"> the Prime Minister and Cabinet, </w:t>
      </w:r>
      <w:r w:rsidR="002A7CA1">
        <w:rPr>
          <w:rFonts w:ascii="Arial" w:hAnsi="Arial" w:cs="Arial"/>
        </w:rPr>
        <w:t xml:space="preserve">regional authorities, </w:t>
      </w:r>
      <w:r w:rsidR="002A7CA1" w:rsidRPr="00700384">
        <w:rPr>
          <w:rFonts w:ascii="Arial" w:hAnsi="Arial" w:cs="Arial"/>
        </w:rPr>
        <w:t xml:space="preserve">political parties, and the electoral system. It will assess key issues facing democratic government and institutions within the UK, analysing for example the role of Europe, the challenges posed by devolution, the Treasury and the National Health Service. There will also be discussion of contemporary political behaviour, including the issue of political participation. </w:t>
      </w:r>
      <w:r w:rsidR="002A7CA1">
        <w:rPr>
          <w:rFonts w:ascii="Arial" w:hAnsi="Arial" w:cs="Arial"/>
        </w:rPr>
        <w:t>This module prepares students to sit the National Council for the Training of Journalists’ (NCTJ) professional exam in public affairs.</w:t>
      </w:r>
    </w:p>
    <w:p w14:paraId="6FB8BC6D" w14:textId="77777777" w:rsidR="009A2D37" w:rsidRPr="00302082" w:rsidRDefault="009A2D37" w:rsidP="005219EF">
      <w:pPr>
        <w:spacing w:after="120" w:line="240" w:lineRule="auto"/>
        <w:ind w:left="426" w:right="260"/>
        <w:jc w:val="both"/>
        <w:rPr>
          <w:rFonts w:ascii="Arial" w:hAnsi="Arial" w:cs="Arial"/>
          <w:i/>
          <w:iCs/>
        </w:rPr>
      </w:pPr>
    </w:p>
    <w:p w14:paraId="1D2188C7" w14:textId="77777777" w:rsidR="009A2D37" w:rsidRPr="00302082" w:rsidRDefault="00883204" w:rsidP="005219EF">
      <w:pPr>
        <w:numPr>
          <w:ilvl w:val="0"/>
          <w:numId w:val="1"/>
        </w:numPr>
        <w:spacing w:after="120" w:line="240" w:lineRule="auto"/>
        <w:ind w:left="567" w:right="260" w:hanging="567"/>
        <w:jc w:val="both"/>
        <w:rPr>
          <w:rFonts w:ascii="Arial" w:hAnsi="Arial" w:cs="Arial"/>
          <w:b/>
        </w:rPr>
      </w:pPr>
      <w:r>
        <w:rPr>
          <w:rFonts w:ascii="Arial" w:hAnsi="Arial" w:cs="Arial"/>
          <w:b/>
        </w:rPr>
        <w:t>Reading l</w:t>
      </w:r>
      <w:r w:rsidR="009A2D37" w:rsidRPr="00302082">
        <w:rPr>
          <w:rFonts w:ascii="Arial" w:hAnsi="Arial" w:cs="Arial"/>
          <w:b/>
        </w:rPr>
        <w:t xml:space="preserve">ist </w:t>
      </w:r>
      <w:r w:rsidR="00274ED7" w:rsidRPr="00302082">
        <w:rPr>
          <w:rFonts w:ascii="Arial" w:hAnsi="Arial" w:cs="Arial"/>
          <w:b/>
        </w:rPr>
        <w:t>(Indicative list, current at time of publication. Reading lists will be published annually)</w:t>
      </w:r>
    </w:p>
    <w:p w14:paraId="2A88F26A" w14:textId="77777777" w:rsidR="00537974" w:rsidRPr="00537974" w:rsidRDefault="00537974" w:rsidP="005219EF">
      <w:pPr>
        <w:widowControl w:val="0"/>
        <w:autoSpaceDE w:val="0"/>
        <w:autoSpaceDN w:val="0"/>
        <w:adjustRightInd w:val="0"/>
        <w:spacing w:after="120" w:line="240" w:lineRule="auto"/>
        <w:ind w:left="567" w:right="260"/>
        <w:jc w:val="both"/>
        <w:rPr>
          <w:rFonts w:ascii="Arial" w:hAnsi="Arial" w:cs="Arial"/>
        </w:rPr>
      </w:pPr>
      <w:r w:rsidRPr="00537974">
        <w:rPr>
          <w:rFonts w:ascii="Arial" w:hAnsi="Arial" w:cs="Arial"/>
        </w:rPr>
        <w:t>Morrison, J (2013), Essential Public Affairs for Journalists, 3</w:t>
      </w:r>
      <w:r w:rsidRPr="00537974">
        <w:rPr>
          <w:rFonts w:ascii="Arial" w:hAnsi="Arial" w:cs="Arial"/>
          <w:vertAlign w:val="superscript"/>
        </w:rPr>
        <w:t>rd</w:t>
      </w:r>
      <w:r w:rsidRPr="00537974">
        <w:rPr>
          <w:rFonts w:ascii="Arial" w:hAnsi="Arial" w:cs="Arial"/>
        </w:rPr>
        <w:t xml:space="preserve"> </w:t>
      </w:r>
      <w:proofErr w:type="spellStart"/>
      <w:r w:rsidRPr="00537974">
        <w:rPr>
          <w:rFonts w:ascii="Arial" w:hAnsi="Arial" w:cs="Arial"/>
        </w:rPr>
        <w:t>edn</w:t>
      </w:r>
      <w:proofErr w:type="spellEnd"/>
      <w:r w:rsidRPr="00537974">
        <w:rPr>
          <w:rFonts w:ascii="Arial" w:hAnsi="Arial" w:cs="Arial"/>
        </w:rPr>
        <w:t>, Oxford University Press, Oxford</w:t>
      </w:r>
    </w:p>
    <w:p w14:paraId="62C8A838" w14:textId="77777777" w:rsidR="00537974" w:rsidRPr="00537974" w:rsidRDefault="00537974" w:rsidP="005219EF">
      <w:pPr>
        <w:widowControl w:val="0"/>
        <w:autoSpaceDE w:val="0"/>
        <w:autoSpaceDN w:val="0"/>
        <w:adjustRightInd w:val="0"/>
        <w:spacing w:after="120" w:line="240" w:lineRule="auto"/>
        <w:ind w:left="567" w:right="260"/>
        <w:jc w:val="both"/>
        <w:rPr>
          <w:rFonts w:ascii="Arial" w:hAnsi="Arial" w:cs="Arial"/>
        </w:rPr>
      </w:pPr>
      <w:r w:rsidRPr="00537974">
        <w:rPr>
          <w:rFonts w:ascii="Arial" w:hAnsi="Arial" w:cs="Arial"/>
        </w:rPr>
        <w:t xml:space="preserve">Leach, R, </w:t>
      </w:r>
      <w:proofErr w:type="spellStart"/>
      <w:r w:rsidRPr="00537974">
        <w:rPr>
          <w:rFonts w:ascii="Arial" w:hAnsi="Arial" w:cs="Arial"/>
        </w:rPr>
        <w:t>Coxall</w:t>
      </w:r>
      <w:proofErr w:type="spellEnd"/>
      <w:r w:rsidRPr="00537974">
        <w:rPr>
          <w:rFonts w:ascii="Arial" w:hAnsi="Arial" w:cs="Arial"/>
        </w:rPr>
        <w:t>, B and Robins, L (2011), British Politics, 2</w:t>
      </w:r>
      <w:r w:rsidRPr="00537974">
        <w:rPr>
          <w:rFonts w:ascii="Arial" w:hAnsi="Arial" w:cs="Arial"/>
          <w:vertAlign w:val="superscript"/>
        </w:rPr>
        <w:t>nd</w:t>
      </w:r>
      <w:r w:rsidRPr="00537974">
        <w:rPr>
          <w:rFonts w:ascii="Arial" w:hAnsi="Arial" w:cs="Arial"/>
        </w:rPr>
        <w:t xml:space="preserve"> </w:t>
      </w:r>
      <w:proofErr w:type="spellStart"/>
      <w:r w:rsidRPr="00537974">
        <w:rPr>
          <w:rFonts w:ascii="Arial" w:hAnsi="Arial" w:cs="Arial"/>
        </w:rPr>
        <w:t>edn</w:t>
      </w:r>
      <w:proofErr w:type="spellEnd"/>
      <w:r w:rsidRPr="00537974">
        <w:rPr>
          <w:rFonts w:ascii="Arial" w:hAnsi="Arial" w:cs="Arial"/>
        </w:rPr>
        <w:t>, Palgrave Macmillan, Basingstoke</w:t>
      </w:r>
    </w:p>
    <w:p w14:paraId="46EA52C5" w14:textId="77777777" w:rsidR="00537974" w:rsidRPr="00537974" w:rsidRDefault="00537974" w:rsidP="005219EF">
      <w:pPr>
        <w:spacing w:after="120" w:line="240" w:lineRule="auto"/>
        <w:ind w:left="567" w:right="260"/>
        <w:jc w:val="both"/>
        <w:rPr>
          <w:rFonts w:ascii="Arial" w:hAnsi="Arial" w:cs="Arial"/>
        </w:rPr>
      </w:pPr>
      <w:r w:rsidRPr="00537974">
        <w:rPr>
          <w:rFonts w:ascii="Arial" w:hAnsi="Arial" w:cs="Arial"/>
        </w:rPr>
        <w:t>Jones, B and Norton, P (2010), Politics UK, 7</w:t>
      </w:r>
      <w:r w:rsidRPr="00537974">
        <w:rPr>
          <w:rFonts w:ascii="Arial" w:hAnsi="Arial" w:cs="Arial"/>
          <w:vertAlign w:val="superscript"/>
        </w:rPr>
        <w:t>th</w:t>
      </w:r>
      <w:r w:rsidRPr="00537974">
        <w:rPr>
          <w:rFonts w:ascii="Arial" w:hAnsi="Arial" w:cs="Arial"/>
        </w:rPr>
        <w:t xml:space="preserve"> </w:t>
      </w:r>
      <w:proofErr w:type="spellStart"/>
      <w:r w:rsidRPr="00537974">
        <w:rPr>
          <w:rFonts w:ascii="Arial" w:hAnsi="Arial" w:cs="Arial"/>
        </w:rPr>
        <w:t>edn</w:t>
      </w:r>
      <w:proofErr w:type="spellEnd"/>
      <w:r w:rsidRPr="00537974">
        <w:rPr>
          <w:rFonts w:ascii="Arial" w:hAnsi="Arial" w:cs="Arial"/>
        </w:rPr>
        <w:t>, Pearson, Harlow</w:t>
      </w:r>
    </w:p>
    <w:p w14:paraId="26763505" w14:textId="77777777" w:rsidR="00537974" w:rsidRPr="00537974" w:rsidRDefault="00537974" w:rsidP="005219EF">
      <w:pPr>
        <w:spacing w:after="120" w:line="240" w:lineRule="auto"/>
        <w:ind w:left="567" w:right="260"/>
        <w:jc w:val="both"/>
        <w:rPr>
          <w:rFonts w:ascii="Arial" w:hAnsi="Arial" w:cs="Arial"/>
        </w:rPr>
      </w:pPr>
      <w:r w:rsidRPr="00537974">
        <w:rPr>
          <w:rFonts w:ascii="Arial" w:hAnsi="Arial" w:cs="Arial"/>
        </w:rPr>
        <w:t>Moran, M (2011), Politics and Governance in the UK, 2</w:t>
      </w:r>
      <w:r w:rsidRPr="00537974">
        <w:rPr>
          <w:rFonts w:ascii="Arial" w:hAnsi="Arial" w:cs="Arial"/>
          <w:vertAlign w:val="superscript"/>
        </w:rPr>
        <w:t>nd</w:t>
      </w:r>
      <w:r w:rsidRPr="00537974">
        <w:rPr>
          <w:rFonts w:ascii="Arial" w:hAnsi="Arial" w:cs="Arial"/>
        </w:rPr>
        <w:t xml:space="preserve"> </w:t>
      </w:r>
      <w:proofErr w:type="spellStart"/>
      <w:r w:rsidRPr="00537974">
        <w:rPr>
          <w:rFonts w:ascii="Arial" w:hAnsi="Arial" w:cs="Arial"/>
        </w:rPr>
        <w:t>edn</w:t>
      </w:r>
      <w:proofErr w:type="spellEnd"/>
      <w:r w:rsidRPr="00537974">
        <w:rPr>
          <w:rFonts w:ascii="Arial" w:hAnsi="Arial" w:cs="Arial"/>
        </w:rPr>
        <w:t>, Palgrave Macmillan, Basingstoke</w:t>
      </w:r>
    </w:p>
    <w:p w14:paraId="1FDCD869" w14:textId="77777777" w:rsidR="00537974" w:rsidRPr="00537974" w:rsidRDefault="00537974" w:rsidP="005219EF">
      <w:pPr>
        <w:spacing w:after="120" w:line="240" w:lineRule="auto"/>
        <w:ind w:left="567" w:right="260"/>
        <w:jc w:val="both"/>
        <w:rPr>
          <w:rFonts w:ascii="Arial" w:hAnsi="Arial" w:cs="Arial"/>
        </w:rPr>
      </w:pPr>
      <w:r w:rsidRPr="00537974">
        <w:rPr>
          <w:rFonts w:ascii="Arial" w:hAnsi="Arial" w:cs="Arial"/>
        </w:rPr>
        <w:t>Judge, D (2005), Political Institutions in the United Kingdom, Oxford University Press, Oxford</w:t>
      </w:r>
    </w:p>
    <w:p w14:paraId="7666F494" w14:textId="77777777" w:rsidR="00537974" w:rsidRPr="00537974" w:rsidRDefault="00537974" w:rsidP="005219EF">
      <w:pPr>
        <w:spacing w:after="120" w:line="240" w:lineRule="auto"/>
        <w:ind w:left="567" w:right="260"/>
        <w:jc w:val="both"/>
        <w:rPr>
          <w:rFonts w:ascii="Arial" w:hAnsi="Arial" w:cs="Arial"/>
        </w:rPr>
      </w:pPr>
      <w:r w:rsidRPr="00537974">
        <w:rPr>
          <w:rFonts w:ascii="Arial" w:hAnsi="Arial" w:cs="Arial"/>
        </w:rPr>
        <w:t>Kavanagh, D, et al (2006), British Politics, 5</w:t>
      </w:r>
      <w:r w:rsidRPr="00537974">
        <w:rPr>
          <w:rFonts w:ascii="Arial" w:hAnsi="Arial" w:cs="Arial"/>
          <w:vertAlign w:val="superscript"/>
        </w:rPr>
        <w:t>th</w:t>
      </w:r>
      <w:r w:rsidRPr="00537974">
        <w:rPr>
          <w:rFonts w:ascii="Arial" w:hAnsi="Arial" w:cs="Arial"/>
        </w:rPr>
        <w:t xml:space="preserve"> edition, Oxford University Press, Oxford</w:t>
      </w:r>
    </w:p>
    <w:p w14:paraId="66C1DA0F" w14:textId="77777777" w:rsidR="00537974" w:rsidRPr="00537974" w:rsidRDefault="00537974" w:rsidP="005219EF">
      <w:pPr>
        <w:spacing w:after="120" w:line="240" w:lineRule="auto"/>
        <w:ind w:left="567" w:right="260"/>
        <w:jc w:val="both"/>
        <w:rPr>
          <w:rFonts w:ascii="Arial" w:hAnsi="Arial" w:cs="Arial"/>
        </w:rPr>
      </w:pPr>
      <w:r w:rsidRPr="00537974">
        <w:rPr>
          <w:rFonts w:ascii="Arial" w:hAnsi="Arial" w:cs="Arial"/>
        </w:rPr>
        <w:t>Peele, G (2004), Governing the UK. British Politics in the 21</w:t>
      </w:r>
      <w:r w:rsidRPr="00537974">
        <w:rPr>
          <w:rFonts w:ascii="Arial" w:hAnsi="Arial" w:cs="Arial"/>
          <w:vertAlign w:val="superscript"/>
        </w:rPr>
        <w:t>st</w:t>
      </w:r>
      <w:r w:rsidRPr="00537974">
        <w:rPr>
          <w:rFonts w:ascii="Arial" w:hAnsi="Arial" w:cs="Arial"/>
        </w:rPr>
        <w:t xml:space="preserve"> Century, 4</w:t>
      </w:r>
      <w:r w:rsidRPr="00537974">
        <w:rPr>
          <w:rFonts w:ascii="Arial" w:hAnsi="Arial" w:cs="Arial"/>
          <w:vertAlign w:val="superscript"/>
        </w:rPr>
        <w:t>th</w:t>
      </w:r>
      <w:r w:rsidRPr="00537974">
        <w:rPr>
          <w:rFonts w:ascii="Arial" w:hAnsi="Arial" w:cs="Arial"/>
        </w:rPr>
        <w:t xml:space="preserve"> </w:t>
      </w:r>
      <w:proofErr w:type="spellStart"/>
      <w:r w:rsidRPr="00537974">
        <w:rPr>
          <w:rFonts w:ascii="Arial" w:hAnsi="Arial" w:cs="Arial"/>
        </w:rPr>
        <w:t>edn</w:t>
      </w:r>
      <w:proofErr w:type="spellEnd"/>
      <w:r w:rsidRPr="00537974">
        <w:rPr>
          <w:rFonts w:ascii="Arial" w:hAnsi="Arial" w:cs="Arial"/>
        </w:rPr>
        <w:t>, Blackwell, Oxford</w:t>
      </w:r>
    </w:p>
    <w:p w14:paraId="35D75AE0" w14:textId="77777777" w:rsidR="00537974" w:rsidRPr="00537974" w:rsidRDefault="00537974" w:rsidP="005219EF">
      <w:pPr>
        <w:spacing w:after="120" w:line="240" w:lineRule="auto"/>
        <w:ind w:left="567" w:right="260"/>
        <w:jc w:val="both"/>
        <w:rPr>
          <w:rFonts w:ascii="Arial" w:hAnsi="Arial" w:cs="Arial"/>
        </w:rPr>
      </w:pPr>
      <w:r w:rsidRPr="00537974">
        <w:rPr>
          <w:rFonts w:ascii="Arial" w:hAnsi="Arial" w:cs="Arial"/>
        </w:rPr>
        <w:t>Jones, B (2010), Dictionary of British Politics, 2</w:t>
      </w:r>
      <w:r w:rsidRPr="00537974">
        <w:rPr>
          <w:rFonts w:ascii="Arial" w:hAnsi="Arial" w:cs="Arial"/>
          <w:vertAlign w:val="superscript"/>
        </w:rPr>
        <w:t>nd</w:t>
      </w:r>
      <w:r w:rsidRPr="00537974">
        <w:rPr>
          <w:rFonts w:ascii="Arial" w:hAnsi="Arial" w:cs="Arial"/>
        </w:rPr>
        <w:t xml:space="preserve"> </w:t>
      </w:r>
      <w:proofErr w:type="spellStart"/>
      <w:r w:rsidRPr="00537974">
        <w:rPr>
          <w:rFonts w:ascii="Arial" w:hAnsi="Arial" w:cs="Arial"/>
        </w:rPr>
        <w:t>edn</w:t>
      </w:r>
      <w:proofErr w:type="spellEnd"/>
      <w:r w:rsidRPr="00537974">
        <w:rPr>
          <w:rFonts w:ascii="Arial" w:hAnsi="Arial" w:cs="Arial"/>
        </w:rPr>
        <w:t>, Manchester University Press, Manchester</w:t>
      </w:r>
    </w:p>
    <w:p w14:paraId="21C60CA8" w14:textId="77777777" w:rsidR="009A2D37" w:rsidRPr="00302082" w:rsidRDefault="009A2D37" w:rsidP="005219EF">
      <w:pPr>
        <w:spacing w:after="120" w:line="240" w:lineRule="auto"/>
        <w:ind w:right="260"/>
        <w:jc w:val="both"/>
        <w:rPr>
          <w:rFonts w:ascii="Arial" w:hAnsi="Arial" w:cs="Arial"/>
          <w:b/>
        </w:rPr>
      </w:pPr>
    </w:p>
    <w:p w14:paraId="45E0553C" w14:textId="2AC730DF" w:rsidR="00883204" w:rsidRPr="00883204" w:rsidRDefault="000356CF" w:rsidP="005219EF">
      <w:pPr>
        <w:numPr>
          <w:ilvl w:val="0"/>
          <w:numId w:val="1"/>
        </w:numPr>
        <w:spacing w:after="120" w:line="240" w:lineRule="auto"/>
        <w:ind w:left="567" w:right="260" w:hanging="567"/>
        <w:jc w:val="both"/>
        <w:rPr>
          <w:rFonts w:ascii="Arial" w:hAnsi="Arial" w:cs="Arial"/>
          <w:i/>
          <w:iCs/>
        </w:rPr>
      </w:pPr>
      <w:r>
        <w:rPr>
          <w:rFonts w:ascii="Arial" w:hAnsi="Arial" w:cs="Arial"/>
          <w:b/>
        </w:rPr>
        <w:t>Contact hours</w:t>
      </w:r>
    </w:p>
    <w:p w14:paraId="4A32AE38" w14:textId="77777777" w:rsidR="008B254C" w:rsidRPr="008B254C" w:rsidRDefault="008B254C" w:rsidP="005219EF">
      <w:pPr>
        <w:spacing w:after="120" w:line="240" w:lineRule="auto"/>
        <w:ind w:left="567" w:right="260"/>
        <w:jc w:val="both"/>
        <w:rPr>
          <w:rFonts w:ascii="Arial" w:hAnsi="Arial" w:cs="Arial"/>
          <w:iCs/>
        </w:rPr>
      </w:pPr>
      <w:r w:rsidRPr="008B254C">
        <w:rPr>
          <w:rFonts w:ascii="Arial" w:hAnsi="Arial" w:cs="Arial"/>
          <w:iCs/>
        </w:rPr>
        <w:t>Total Contact Hours: 48</w:t>
      </w:r>
    </w:p>
    <w:p w14:paraId="155288DE" w14:textId="77777777" w:rsidR="008B254C" w:rsidRPr="008B254C" w:rsidRDefault="008B254C" w:rsidP="005219EF">
      <w:pPr>
        <w:spacing w:after="120" w:line="240" w:lineRule="auto"/>
        <w:ind w:left="567" w:right="260"/>
        <w:jc w:val="both"/>
        <w:rPr>
          <w:rFonts w:ascii="Arial" w:hAnsi="Arial" w:cs="Arial"/>
          <w:iCs/>
        </w:rPr>
      </w:pPr>
      <w:r w:rsidRPr="008B254C">
        <w:rPr>
          <w:rFonts w:ascii="Arial" w:hAnsi="Arial" w:cs="Arial"/>
          <w:iCs/>
        </w:rPr>
        <w:t xml:space="preserve">Private Study Hours: </w:t>
      </w:r>
      <w:r>
        <w:rPr>
          <w:rFonts w:ascii="Arial" w:hAnsi="Arial" w:cs="Arial"/>
          <w:iCs/>
        </w:rPr>
        <w:t>102</w:t>
      </w:r>
    </w:p>
    <w:p w14:paraId="1A595D0E" w14:textId="77777777" w:rsidR="008B254C" w:rsidRPr="008B254C" w:rsidRDefault="008B254C" w:rsidP="005219EF">
      <w:pPr>
        <w:spacing w:after="120" w:line="240" w:lineRule="auto"/>
        <w:ind w:left="567" w:right="260"/>
        <w:jc w:val="both"/>
        <w:rPr>
          <w:rFonts w:ascii="Arial" w:hAnsi="Arial" w:cs="Arial"/>
          <w:iCs/>
        </w:rPr>
      </w:pPr>
      <w:r w:rsidRPr="008B254C">
        <w:rPr>
          <w:rFonts w:ascii="Arial" w:hAnsi="Arial" w:cs="Arial"/>
          <w:iCs/>
        </w:rPr>
        <w:t xml:space="preserve">Total Study Hours: </w:t>
      </w:r>
      <w:r>
        <w:rPr>
          <w:rFonts w:ascii="Arial" w:hAnsi="Arial" w:cs="Arial"/>
          <w:iCs/>
        </w:rPr>
        <w:t>150</w:t>
      </w:r>
    </w:p>
    <w:p w14:paraId="7153A299" w14:textId="77777777" w:rsidR="009A2D37" w:rsidRPr="00302082" w:rsidRDefault="009A2D37" w:rsidP="005219EF">
      <w:pPr>
        <w:spacing w:after="120" w:line="240" w:lineRule="auto"/>
        <w:ind w:left="426" w:right="260"/>
        <w:jc w:val="both"/>
        <w:rPr>
          <w:rFonts w:ascii="Arial" w:hAnsi="Arial" w:cs="Arial"/>
          <w:i/>
          <w:iCs/>
        </w:rPr>
      </w:pPr>
    </w:p>
    <w:p w14:paraId="3091B07C" w14:textId="77777777" w:rsidR="00883204" w:rsidRPr="00883204" w:rsidRDefault="00EF4933" w:rsidP="005219EF">
      <w:pPr>
        <w:numPr>
          <w:ilvl w:val="0"/>
          <w:numId w:val="1"/>
        </w:numPr>
        <w:spacing w:after="120" w:line="240" w:lineRule="auto"/>
        <w:ind w:left="567" w:right="260" w:hanging="567"/>
        <w:jc w:val="both"/>
        <w:rPr>
          <w:rFonts w:ascii="Arial" w:hAnsi="Arial" w:cs="Arial"/>
          <w:i/>
          <w:iCs/>
        </w:rPr>
      </w:pPr>
      <w:r w:rsidRPr="00302082">
        <w:rPr>
          <w:rFonts w:ascii="Arial" w:hAnsi="Arial" w:cs="Arial"/>
          <w:b/>
        </w:rPr>
        <w:t>Assessment methods</w:t>
      </w:r>
    </w:p>
    <w:p w14:paraId="602C43E9" w14:textId="77777777" w:rsidR="00696FF5" w:rsidRPr="00696FF5" w:rsidRDefault="00696FF5" w:rsidP="005219EF">
      <w:pPr>
        <w:pStyle w:val="ListParagraph"/>
        <w:numPr>
          <w:ilvl w:val="1"/>
          <w:numId w:val="9"/>
        </w:numPr>
        <w:spacing w:after="120"/>
        <w:ind w:left="567" w:right="260" w:hanging="567"/>
        <w:jc w:val="both"/>
        <w:rPr>
          <w:rFonts w:ascii="Arial" w:hAnsi="Arial" w:cs="Arial"/>
          <w:iCs/>
        </w:rPr>
      </w:pPr>
      <w:r w:rsidRPr="00696FF5">
        <w:rPr>
          <w:rFonts w:ascii="Arial" w:hAnsi="Arial" w:cs="Arial"/>
          <w:iCs/>
        </w:rPr>
        <w:t>Main assessment methods</w:t>
      </w:r>
    </w:p>
    <w:p w14:paraId="1D362AB2" w14:textId="6127A364" w:rsidR="00333143" w:rsidRDefault="00333143" w:rsidP="005219EF">
      <w:pPr>
        <w:spacing w:after="120" w:line="240" w:lineRule="auto"/>
        <w:ind w:left="567" w:right="260"/>
        <w:jc w:val="both"/>
        <w:rPr>
          <w:rFonts w:ascii="Arial" w:hAnsi="Arial" w:cs="Arial"/>
          <w:iCs/>
        </w:rPr>
      </w:pPr>
      <w:r>
        <w:rPr>
          <w:rFonts w:ascii="Arial" w:hAnsi="Arial" w:cs="Arial"/>
          <w:iCs/>
        </w:rPr>
        <w:t>In-</w:t>
      </w:r>
      <w:r w:rsidR="004A632D">
        <w:rPr>
          <w:rFonts w:ascii="Arial" w:hAnsi="Arial" w:cs="Arial"/>
          <w:iCs/>
        </w:rPr>
        <w:t xml:space="preserve">course </w:t>
      </w:r>
      <w:r>
        <w:rPr>
          <w:rFonts w:ascii="Arial" w:hAnsi="Arial" w:cs="Arial"/>
          <w:iCs/>
        </w:rPr>
        <w:t xml:space="preserve">test, </w:t>
      </w:r>
      <w:r w:rsidR="005219EF">
        <w:rPr>
          <w:rFonts w:ascii="Arial" w:hAnsi="Arial" w:cs="Arial"/>
          <w:iCs/>
        </w:rPr>
        <w:t>(</w:t>
      </w:r>
      <w:r>
        <w:rPr>
          <w:rFonts w:ascii="Arial" w:hAnsi="Arial" w:cs="Arial"/>
          <w:iCs/>
        </w:rPr>
        <w:t>45 mins</w:t>
      </w:r>
      <w:r w:rsidR="005219EF">
        <w:rPr>
          <w:rFonts w:ascii="Arial" w:hAnsi="Arial" w:cs="Arial"/>
          <w:iCs/>
        </w:rPr>
        <w:t>.)</w:t>
      </w:r>
      <w:r>
        <w:rPr>
          <w:rFonts w:ascii="Arial" w:hAnsi="Arial" w:cs="Arial"/>
          <w:iCs/>
        </w:rPr>
        <w:t xml:space="preserve"> – 50% </w:t>
      </w:r>
    </w:p>
    <w:p w14:paraId="4210BB77" w14:textId="77777777" w:rsidR="005219EF" w:rsidRDefault="005219EF" w:rsidP="005219EF">
      <w:pPr>
        <w:spacing w:after="120" w:line="240" w:lineRule="auto"/>
        <w:ind w:left="567" w:right="260"/>
        <w:jc w:val="both"/>
        <w:rPr>
          <w:rFonts w:ascii="Arial" w:hAnsi="Arial" w:cs="Arial"/>
          <w:iCs/>
        </w:rPr>
      </w:pPr>
      <w:r>
        <w:rPr>
          <w:rFonts w:ascii="Arial" w:hAnsi="Arial" w:cs="Arial"/>
          <w:iCs/>
        </w:rPr>
        <w:t>In-course test, (</w:t>
      </w:r>
      <w:r w:rsidRPr="005219EF">
        <w:rPr>
          <w:rFonts w:ascii="Arial" w:hAnsi="Arial" w:cs="Arial"/>
          <w:iCs/>
        </w:rPr>
        <w:t>45 mins</w:t>
      </w:r>
      <w:r>
        <w:rPr>
          <w:rFonts w:ascii="Arial" w:hAnsi="Arial" w:cs="Arial"/>
          <w:iCs/>
        </w:rPr>
        <w:t>.)</w:t>
      </w:r>
      <w:r w:rsidRPr="005219EF">
        <w:rPr>
          <w:rFonts w:ascii="Arial" w:hAnsi="Arial" w:cs="Arial"/>
          <w:iCs/>
        </w:rPr>
        <w:t xml:space="preserve"> – 50%</w:t>
      </w:r>
    </w:p>
    <w:p w14:paraId="426C3E2F" w14:textId="77777777" w:rsidR="003F3578" w:rsidRDefault="003F3578" w:rsidP="005219EF">
      <w:pPr>
        <w:spacing w:after="120" w:line="240" w:lineRule="auto"/>
        <w:ind w:left="426" w:right="260"/>
        <w:jc w:val="both"/>
        <w:rPr>
          <w:rFonts w:ascii="Arial" w:hAnsi="Arial" w:cs="Arial"/>
          <w:b/>
          <w:i/>
          <w:iCs/>
        </w:rPr>
      </w:pPr>
    </w:p>
    <w:p w14:paraId="4D9A6AD6" w14:textId="77777777" w:rsidR="00696FF5" w:rsidRPr="00696FF5" w:rsidRDefault="00696FF5" w:rsidP="005219EF">
      <w:pPr>
        <w:spacing w:after="120"/>
        <w:ind w:left="567" w:right="260" w:hanging="567"/>
        <w:jc w:val="both"/>
        <w:rPr>
          <w:rFonts w:ascii="Arial" w:hAnsi="Arial" w:cs="Arial"/>
          <w:iCs/>
        </w:rPr>
      </w:pPr>
      <w:r>
        <w:rPr>
          <w:rFonts w:ascii="Arial" w:hAnsi="Arial" w:cs="Arial"/>
          <w:iCs/>
        </w:rPr>
        <w:t>13.2</w:t>
      </w:r>
      <w:r>
        <w:rPr>
          <w:rFonts w:ascii="Arial" w:hAnsi="Arial" w:cs="Arial"/>
          <w:iCs/>
        </w:rPr>
        <w:tab/>
      </w:r>
      <w:r w:rsidRPr="00696FF5">
        <w:rPr>
          <w:rFonts w:ascii="Arial" w:hAnsi="Arial" w:cs="Arial"/>
          <w:iCs/>
        </w:rPr>
        <w:t xml:space="preserve">Reassessment methods </w:t>
      </w:r>
    </w:p>
    <w:p w14:paraId="380184CF" w14:textId="2F12EA96" w:rsidR="00B72470" w:rsidRPr="00333143" w:rsidRDefault="00A751F7" w:rsidP="005219EF">
      <w:pPr>
        <w:spacing w:after="120" w:line="240" w:lineRule="auto"/>
        <w:ind w:left="567" w:right="260"/>
        <w:jc w:val="both"/>
        <w:rPr>
          <w:rFonts w:ascii="Arial" w:hAnsi="Arial" w:cs="Arial"/>
          <w:iCs/>
        </w:rPr>
      </w:pPr>
      <w:r>
        <w:rPr>
          <w:rFonts w:ascii="Arial" w:hAnsi="Arial" w:cs="Arial"/>
          <w:iCs/>
        </w:rPr>
        <w:t>Reassessment instrument: 100% coursework</w:t>
      </w:r>
    </w:p>
    <w:p w14:paraId="2D50D6B6" w14:textId="77777777" w:rsidR="0062219E" w:rsidRDefault="0062219E" w:rsidP="005219EF">
      <w:pPr>
        <w:spacing w:after="120" w:line="240" w:lineRule="auto"/>
        <w:ind w:left="426" w:right="260"/>
        <w:jc w:val="both"/>
        <w:rPr>
          <w:rFonts w:ascii="Arial" w:hAnsi="Arial" w:cs="Arial"/>
          <w:b/>
          <w:i/>
          <w:iCs/>
        </w:rPr>
      </w:pPr>
    </w:p>
    <w:p w14:paraId="1149D1F9" w14:textId="77777777" w:rsidR="00274ED7" w:rsidRPr="005219EF" w:rsidRDefault="006F3F8B" w:rsidP="005219EF">
      <w:pPr>
        <w:numPr>
          <w:ilvl w:val="0"/>
          <w:numId w:val="1"/>
        </w:numPr>
        <w:spacing w:after="120" w:line="240" w:lineRule="auto"/>
        <w:ind w:left="567" w:right="260" w:hanging="567"/>
        <w:jc w:val="both"/>
        <w:rPr>
          <w:rFonts w:ascii="Arial" w:hAnsi="Arial" w:cs="Arial"/>
          <w:b/>
          <w:iCs/>
        </w:rPr>
      </w:pPr>
      <w:r w:rsidRPr="005219EF">
        <w:rPr>
          <w:rFonts w:ascii="Arial" w:hAnsi="Arial" w:cs="Arial"/>
          <w:b/>
          <w:iCs/>
        </w:rPr>
        <w:t xml:space="preserve">Map of </w:t>
      </w:r>
      <w:r w:rsidR="00883204" w:rsidRPr="005219EF">
        <w:rPr>
          <w:rFonts w:ascii="Arial" w:hAnsi="Arial" w:cs="Arial"/>
          <w:b/>
          <w:iCs/>
        </w:rPr>
        <w:t xml:space="preserve">module learning outcomes </w:t>
      </w:r>
      <w:r w:rsidR="00B30E07" w:rsidRPr="005219EF">
        <w:rPr>
          <w:rFonts w:ascii="Arial" w:hAnsi="Arial" w:cs="Arial"/>
          <w:b/>
          <w:iCs/>
        </w:rPr>
        <w:t>(sections 8 &amp; 9)</w:t>
      </w:r>
      <w:r w:rsidR="00883204" w:rsidRPr="005219EF">
        <w:rPr>
          <w:rFonts w:ascii="Arial" w:hAnsi="Arial" w:cs="Arial"/>
          <w:b/>
          <w:iCs/>
        </w:rPr>
        <w:t xml:space="preserve"> to l</w:t>
      </w:r>
      <w:r w:rsidRPr="005219EF">
        <w:rPr>
          <w:rFonts w:ascii="Arial" w:hAnsi="Arial" w:cs="Arial"/>
          <w:b/>
          <w:iCs/>
        </w:rPr>
        <w:t>earning</w:t>
      </w:r>
      <w:r w:rsidR="00B30E07" w:rsidRPr="005219EF">
        <w:rPr>
          <w:rFonts w:ascii="Arial" w:hAnsi="Arial" w:cs="Arial"/>
          <w:b/>
          <w:iCs/>
        </w:rPr>
        <w:t xml:space="preserve"> and </w:t>
      </w:r>
      <w:r w:rsidR="00883204" w:rsidRPr="005219EF">
        <w:rPr>
          <w:rFonts w:ascii="Arial" w:hAnsi="Arial" w:cs="Arial"/>
          <w:b/>
          <w:iCs/>
        </w:rPr>
        <w:t>teaching m</w:t>
      </w:r>
      <w:r w:rsidR="00B30E07" w:rsidRPr="005219EF">
        <w:rPr>
          <w:rFonts w:ascii="Arial" w:hAnsi="Arial" w:cs="Arial"/>
          <w:b/>
          <w:iCs/>
        </w:rPr>
        <w:t>ethods (section</w:t>
      </w:r>
      <w:r w:rsidR="005219EF" w:rsidRPr="005219EF">
        <w:rPr>
          <w:rFonts w:ascii="Arial" w:hAnsi="Arial" w:cs="Arial"/>
          <w:b/>
          <w:iCs/>
        </w:rPr>
        <w:t xml:space="preserve"> </w:t>
      </w:r>
      <w:r w:rsidR="00B30E07" w:rsidRPr="005219EF">
        <w:rPr>
          <w:rFonts w:ascii="Arial" w:hAnsi="Arial" w:cs="Arial"/>
          <w:b/>
          <w:iCs/>
        </w:rPr>
        <w:t>12</w:t>
      </w:r>
      <w:r w:rsidRPr="005219EF">
        <w:rPr>
          <w:rFonts w:ascii="Arial" w:hAnsi="Arial" w:cs="Arial"/>
          <w:b/>
          <w:iCs/>
        </w:rPr>
        <w:t>) and m</w:t>
      </w:r>
      <w:r w:rsidR="00883204" w:rsidRPr="005219EF">
        <w:rPr>
          <w:rFonts w:ascii="Arial" w:hAnsi="Arial" w:cs="Arial"/>
          <w:b/>
          <w:iCs/>
        </w:rPr>
        <w:t>ethods of a</w:t>
      </w:r>
      <w:r w:rsidR="00B30E07" w:rsidRPr="005219EF">
        <w:rPr>
          <w:rFonts w:ascii="Arial" w:hAnsi="Arial" w:cs="Arial"/>
          <w:b/>
          <w:iCs/>
        </w:rPr>
        <w:t>ssessment (section 13</w:t>
      </w:r>
      <w:r w:rsidR="00EF4933" w:rsidRPr="005219EF">
        <w:rPr>
          <w:rFonts w:ascii="Arial" w:hAnsi="Arial" w:cs="Arial"/>
          <w:b/>
          <w:iCs/>
        </w:rPr>
        <w:t>)</w:t>
      </w:r>
    </w:p>
    <w:p w14:paraId="5808E65E" w14:textId="77777777" w:rsidR="001C1787" w:rsidRPr="001C1787" w:rsidRDefault="001C1787" w:rsidP="00EF5FD8">
      <w:pPr>
        <w:spacing w:after="120" w:line="240" w:lineRule="auto"/>
        <w:ind w:right="261"/>
        <w:jc w:val="both"/>
        <w:rPr>
          <w:rFonts w:ascii="Arial" w:hAnsi="Arial" w:cs="Arial"/>
          <w:i/>
          <w:iCs/>
        </w:rPr>
      </w:pPr>
    </w:p>
    <w:tbl>
      <w:tblPr>
        <w:tblStyle w:val="TableGrid"/>
        <w:tblW w:w="7542" w:type="dxa"/>
        <w:jc w:val="center"/>
        <w:tblLayout w:type="fixed"/>
        <w:tblLook w:val="04A0" w:firstRow="1" w:lastRow="0" w:firstColumn="1" w:lastColumn="0" w:noHBand="0" w:noVBand="1"/>
      </w:tblPr>
      <w:tblGrid>
        <w:gridCol w:w="2439"/>
        <w:gridCol w:w="567"/>
        <w:gridCol w:w="567"/>
        <w:gridCol w:w="567"/>
        <w:gridCol w:w="567"/>
        <w:gridCol w:w="567"/>
        <w:gridCol w:w="567"/>
        <w:gridCol w:w="567"/>
        <w:gridCol w:w="567"/>
        <w:gridCol w:w="567"/>
      </w:tblGrid>
      <w:tr w:rsidR="00032C85" w:rsidRPr="00302082" w14:paraId="47007CCE" w14:textId="77777777" w:rsidTr="00941BB5">
        <w:trPr>
          <w:jc w:val="center"/>
        </w:trPr>
        <w:tc>
          <w:tcPr>
            <w:tcW w:w="2439" w:type="dxa"/>
            <w:shd w:val="clear" w:color="auto" w:fill="D9D9D9" w:themeFill="background1" w:themeFillShade="D9"/>
          </w:tcPr>
          <w:p w14:paraId="687A84BB" w14:textId="77777777" w:rsidR="00032C85" w:rsidRPr="00302082" w:rsidRDefault="00032C85" w:rsidP="00302082">
            <w:pPr>
              <w:spacing w:after="120"/>
              <w:ind w:left="33"/>
              <w:rPr>
                <w:rFonts w:ascii="Arial" w:hAnsi="Arial" w:cs="Arial"/>
                <w:b/>
              </w:rPr>
            </w:pPr>
            <w:r w:rsidRPr="00302082">
              <w:rPr>
                <w:rFonts w:ascii="Arial" w:hAnsi="Arial" w:cs="Arial"/>
                <w:b/>
              </w:rPr>
              <w:lastRenderedPageBreak/>
              <w:t>Module learning outcome</w:t>
            </w:r>
          </w:p>
        </w:tc>
        <w:tc>
          <w:tcPr>
            <w:tcW w:w="567" w:type="dxa"/>
          </w:tcPr>
          <w:p w14:paraId="3F42D8F1" w14:textId="77777777" w:rsidR="00032C85" w:rsidRPr="002302FD" w:rsidRDefault="00032C85" w:rsidP="00941BB5">
            <w:pPr>
              <w:spacing w:after="120"/>
              <w:jc w:val="center"/>
              <w:rPr>
                <w:rFonts w:ascii="Arial" w:hAnsi="Arial" w:cs="Arial"/>
              </w:rPr>
            </w:pPr>
            <w:r w:rsidRPr="002302FD">
              <w:rPr>
                <w:rFonts w:ascii="Arial" w:hAnsi="Arial" w:cs="Arial"/>
              </w:rPr>
              <w:t>8.1</w:t>
            </w:r>
          </w:p>
        </w:tc>
        <w:tc>
          <w:tcPr>
            <w:tcW w:w="567" w:type="dxa"/>
          </w:tcPr>
          <w:p w14:paraId="02897BAF" w14:textId="77777777" w:rsidR="00032C85" w:rsidRPr="002302FD" w:rsidRDefault="00032C85" w:rsidP="00941BB5">
            <w:pPr>
              <w:spacing w:after="120"/>
              <w:jc w:val="center"/>
              <w:rPr>
                <w:rFonts w:ascii="Arial" w:hAnsi="Arial" w:cs="Arial"/>
              </w:rPr>
            </w:pPr>
            <w:r w:rsidRPr="002302FD">
              <w:rPr>
                <w:rFonts w:ascii="Arial" w:hAnsi="Arial" w:cs="Arial"/>
              </w:rPr>
              <w:t>8.2</w:t>
            </w:r>
          </w:p>
        </w:tc>
        <w:tc>
          <w:tcPr>
            <w:tcW w:w="567" w:type="dxa"/>
          </w:tcPr>
          <w:p w14:paraId="6F5A8BCA" w14:textId="77777777" w:rsidR="00032C85" w:rsidRPr="002302FD" w:rsidRDefault="00032C85" w:rsidP="00941BB5">
            <w:pPr>
              <w:spacing w:after="120"/>
              <w:jc w:val="center"/>
              <w:rPr>
                <w:rFonts w:ascii="Arial" w:hAnsi="Arial" w:cs="Arial"/>
              </w:rPr>
            </w:pPr>
            <w:r w:rsidRPr="002302FD">
              <w:rPr>
                <w:rFonts w:ascii="Arial" w:hAnsi="Arial" w:cs="Arial"/>
              </w:rPr>
              <w:t>8.3</w:t>
            </w:r>
          </w:p>
        </w:tc>
        <w:tc>
          <w:tcPr>
            <w:tcW w:w="567" w:type="dxa"/>
          </w:tcPr>
          <w:p w14:paraId="7FB1AC75" w14:textId="77777777" w:rsidR="00032C85" w:rsidRPr="002302FD" w:rsidRDefault="00032C85" w:rsidP="00941BB5">
            <w:pPr>
              <w:spacing w:after="120"/>
              <w:jc w:val="center"/>
              <w:rPr>
                <w:rFonts w:ascii="Arial" w:hAnsi="Arial" w:cs="Arial"/>
              </w:rPr>
            </w:pPr>
            <w:r w:rsidRPr="002302FD">
              <w:rPr>
                <w:rFonts w:ascii="Arial" w:hAnsi="Arial" w:cs="Arial"/>
              </w:rPr>
              <w:t>8.4</w:t>
            </w:r>
          </w:p>
        </w:tc>
        <w:tc>
          <w:tcPr>
            <w:tcW w:w="567" w:type="dxa"/>
          </w:tcPr>
          <w:p w14:paraId="5E3200CF" w14:textId="77777777" w:rsidR="00032C85" w:rsidRPr="002302FD" w:rsidRDefault="00032C85" w:rsidP="00941BB5">
            <w:pPr>
              <w:spacing w:after="120"/>
              <w:jc w:val="center"/>
              <w:rPr>
                <w:rFonts w:ascii="Arial" w:hAnsi="Arial" w:cs="Arial"/>
              </w:rPr>
            </w:pPr>
            <w:r w:rsidRPr="002302FD">
              <w:rPr>
                <w:rFonts w:ascii="Arial" w:hAnsi="Arial" w:cs="Arial"/>
              </w:rPr>
              <w:t>8.5</w:t>
            </w:r>
          </w:p>
        </w:tc>
        <w:tc>
          <w:tcPr>
            <w:tcW w:w="567" w:type="dxa"/>
          </w:tcPr>
          <w:p w14:paraId="3F55EC3A" w14:textId="77777777" w:rsidR="00032C85" w:rsidRPr="002302FD" w:rsidRDefault="00032C85" w:rsidP="00941BB5">
            <w:pPr>
              <w:spacing w:after="120"/>
              <w:jc w:val="center"/>
              <w:rPr>
                <w:rFonts w:ascii="Arial" w:hAnsi="Arial" w:cs="Arial"/>
              </w:rPr>
            </w:pPr>
            <w:r w:rsidRPr="002302FD">
              <w:rPr>
                <w:rFonts w:ascii="Arial" w:hAnsi="Arial" w:cs="Arial"/>
              </w:rPr>
              <w:t>9.1</w:t>
            </w:r>
          </w:p>
        </w:tc>
        <w:tc>
          <w:tcPr>
            <w:tcW w:w="567" w:type="dxa"/>
          </w:tcPr>
          <w:p w14:paraId="5E543D8B" w14:textId="77777777" w:rsidR="00032C85" w:rsidRPr="002302FD" w:rsidRDefault="00032C85" w:rsidP="00941BB5">
            <w:pPr>
              <w:spacing w:after="120"/>
              <w:jc w:val="center"/>
              <w:rPr>
                <w:rFonts w:ascii="Arial" w:hAnsi="Arial" w:cs="Arial"/>
              </w:rPr>
            </w:pPr>
            <w:r w:rsidRPr="002302FD">
              <w:rPr>
                <w:rFonts w:ascii="Arial" w:hAnsi="Arial" w:cs="Arial"/>
              </w:rPr>
              <w:t>9.2</w:t>
            </w:r>
          </w:p>
        </w:tc>
        <w:tc>
          <w:tcPr>
            <w:tcW w:w="567" w:type="dxa"/>
          </w:tcPr>
          <w:p w14:paraId="60C9DA7B" w14:textId="77777777" w:rsidR="00032C85" w:rsidRPr="002302FD" w:rsidRDefault="00032C85" w:rsidP="00941BB5">
            <w:pPr>
              <w:spacing w:after="120"/>
              <w:jc w:val="center"/>
              <w:rPr>
                <w:rFonts w:ascii="Arial" w:hAnsi="Arial" w:cs="Arial"/>
              </w:rPr>
            </w:pPr>
            <w:r w:rsidRPr="002302FD">
              <w:rPr>
                <w:rFonts w:ascii="Arial" w:hAnsi="Arial" w:cs="Arial"/>
              </w:rPr>
              <w:t>9.3</w:t>
            </w:r>
          </w:p>
        </w:tc>
        <w:tc>
          <w:tcPr>
            <w:tcW w:w="567" w:type="dxa"/>
          </w:tcPr>
          <w:p w14:paraId="3ACF8A7C" w14:textId="77777777" w:rsidR="00032C85" w:rsidRPr="002302FD" w:rsidRDefault="00032C85" w:rsidP="00941BB5">
            <w:pPr>
              <w:spacing w:after="120"/>
              <w:jc w:val="center"/>
              <w:rPr>
                <w:rFonts w:ascii="Arial" w:hAnsi="Arial" w:cs="Arial"/>
              </w:rPr>
            </w:pPr>
            <w:r w:rsidRPr="002302FD">
              <w:rPr>
                <w:rFonts w:ascii="Arial" w:hAnsi="Arial" w:cs="Arial"/>
              </w:rPr>
              <w:t>9.</w:t>
            </w:r>
            <w:r>
              <w:rPr>
                <w:rFonts w:ascii="Arial" w:hAnsi="Arial" w:cs="Arial"/>
              </w:rPr>
              <w:t>4</w:t>
            </w:r>
          </w:p>
        </w:tc>
      </w:tr>
      <w:tr w:rsidR="00032C85" w:rsidRPr="00302082" w14:paraId="548131EE" w14:textId="77777777" w:rsidTr="00941BB5">
        <w:trPr>
          <w:jc w:val="center"/>
        </w:trPr>
        <w:tc>
          <w:tcPr>
            <w:tcW w:w="2439" w:type="dxa"/>
            <w:shd w:val="clear" w:color="auto" w:fill="D9D9D9" w:themeFill="background1" w:themeFillShade="D9"/>
          </w:tcPr>
          <w:p w14:paraId="78C0C8CB" w14:textId="77777777" w:rsidR="00032C85" w:rsidRPr="00302082" w:rsidRDefault="00032C85" w:rsidP="00302082">
            <w:pPr>
              <w:spacing w:after="120"/>
              <w:rPr>
                <w:rFonts w:ascii="Arial" w:hAnsi="Arial" w:cs="Arial"/>
                <w:b/>
              </w:rPr>
            </w:pPr>
            <w:r w:rsidRPr="00302082">
              <w:rPr>
                <w:rFonts w:ascii="Arial" w:hAnsi="Arial" w:cs="Arial"/>
                <w:b/>
              </w:rPr>
              <w:t>Learning/ teaching method</w:t>
            </w:r>
          </w:p>
        </w:tc>
        <w:tc>
          <w:tcPr>
            <w:tcW w:w="567" w:type="dxa"/>
          </w:tcPr>
          <w:p w14:paraId="16E40B69" w14:textId="77777777" w:rsidR="00032C85" w:rsidRPr="00302082" w:rsidRDefault="00032C85" w:rsidP="00941BB5">
            <w:pPr>
              <w:spacing w:after="120"/>
              <w:jc w:val="center"/>
              <w:rPr>
                <w:rFonts w:ascii="Arial" w:hAnsi="Arial" w:cs="Arial"/>
                <w:b/>
              </w:rPr>
            </w:pPr>
          </w:p>
        </w:tc>
        <w:tc>
          <w:tcPr>
            <w:tcW w:w="567" w:type="dxa"/>
          </w:tcPr>
          <w:p w14:paraId="459671C4" w14:textId="77777777" w:rsidR="00032C85" w:rsidRPr="00302082" w:rsidRDefault="00032C85" w:rsidP="00941BB5">
            <w:pPr>
              <w:spacing w:after="120"/>
              <w:jc w:val="center"/>
              <w:rPr>
                <w:rFonts w:ascii="Arial" w:hAnsi="Arial" w:cs="Arial"/>
                <w:b/>
              </w:rPr>
            </w:pPr>
          </w:p>
        </w:tc>
        <w:tc>
          <w:tcPr>
            <w:tcW w:w="567" w:type="dxa"/>
          </w:tcPr>
          <w:p w14:paraId="37975601" w14:textId="77777777" w:rsidR="00032C85" w:rsidRPr="00302082" w:rsidRDefault="00032C85" w:rsidP="00941BB5">
            <w:pPr>
              <w:spacing w:after="120"/>
              <w:jc w:val="center"/>
              <w:rPr>
                <w:rFonts w:ascii="Arial" w:hAnsi="Arial" w:cs="Arial"/>
                <w:b/>
              </w:rPr>
            </w:pPr>
          </w:p>
        </w:tc>
        <w:tc>
          <w:tcPr>
            <w:tcW w:w="567" w:type="dxa"/>
          </w:tcPr>
          <w:p w14:paraId="43CB2A1F" w14:textId="77777777" w:rsidR="00032C85" w:rsidRPr="00302082" w:rsidRDefault="00032C85" w:rsidP="00941BB5">
            <w:pPr>
              <w:spacing w:after="120"/>
              <w:jc w:val="center"/>
              <w:rPr>
                <w:rFonts w:ascii="Arial" w:hAnsi="Arial" w:cs="Arial"/>
                <w:b/>
              </w:rPr>
            </w:pPr>
          </w:p>
        </w:tc>
        <w:tc>
          <w:tcPr>
            <w:tcW w:w="567" w:type="dxa"/>
          </w:tcPr>
          <w:p w14:paraId="641BC538" w14:textId="77777777" w:rsidR="00032C85" w:rsidRPr="00302082" w:rsidRDefault="00032C85" w:rsidP="00941BB5">
            <w:pPr>
              <w:spacing w:after="120"/>
              <w:jc w:val="center"/>
              <w:rPr>
                <w:rFonts w:ascii="Arial" w:hAnsi="Arial" w:cs="Arial"/>
                <w:b/>
              </w:rPr>
            </w:pPr>
          </w:p>
        </w:tc>
        <w:tc>
          <w:tcPr>
            <w:tcW w:w="567" w:type="dxa"/>
          </w:tcPr>
          <w:p w14:paraId="1869ED02" w14:textId="77777777" w:rsidR="00032C85" w:rsidRPr="00302082" w:rsidRDefault="00032C85" w:rsidP="00941BB5">
            <w:pPr>
              <w:spacing w:after="120"/>
              <w:jc w:val="center"/>
              <w:rPr>
                <w:rFonts w:ascii="Arial" w:hAnsi="Arial" w:cs="Arial"/>
                <w:b/>
              </w:rPr>
            </w:pPr>
          </w:p>
        </w:tc>
        <w:tc>
          <w:tcPr>
            <w:tcW w:w="567" w:type="dxa"/>
          </w:tcPr>
          <w:p w14:paraId="32B61C47" w14:textId="77777777" w:rsidR="00032C85" w:rsidRPr="00302082" w:rsidRDefault="00032C85" w:rsidP="00941BB5">
            <w:pPr>
              <w:spacing w:after="120"/>
              <w:jc w:val="center"/>
              <w:rPr>
                <w:rFonts w:ascii="Arial" w:hAnsi="Arial" w:cs="Arial"/>
                <w:b/>
              </w:rPr>
            </w:pPr>
          </w:p>
        </w:tc>
        <w:tc>
          <w:tcPr>
            <w:tcW w:w="567" w:type="dxa"/>
          </w:tcPr>
          <w:p w14:paraId="0F678C43" w14:textId="77777777" w:rsidR="00032C85" w:rsidRPr="00302082" w:rsidRDefault="00032C85" w:rsidP="00941BB5">
            <w:pPr>
              <w:spacing w:after="120"/>
              <w:jc w:val="center"/>
              <w:rPr>
                <w:rFonts w:ascii="Arial" w:hAnsi="Arial" w:cs="Arial"/>
                <w:b/>
              </w:rPr>
            </w:pPr>
          </w:p>
        </w:tc>
        <w:tc>
          <w:tcPr>
            <w:tcW w:w="567" w:type="dxa"/>
          </w:tcPr>
          <w:p w14:paraId="127CB039" w14:textId="77777777" w:rsidR="00032C85" w:rsidRPr="00302082" w:rsidRDefault="00032C85" w:rsidP="00941BB5">
            <w:pPr>
              <w:spacing w:after="120"/>
              <w:jc w:val="center"/>
              <w:rPr>
                <w:rFonts w:ascii="Arial" w:hAnsi="Arial" w:cs="Arial"/>
                <w:b/>
              </w:rPr>
            </w:pPr>
          </w:p>
        </w:tc>
      </w:tr>
      <w:tr w:rsidR="00032C85" w:rsidRPr="00302082" w14:paraId="05586BC6" w14:textId="77777777" w:rsidTr="00941BB5">
        <w:trPr>
          <w:jc w:val="center"/>
        </w:trPr>
        <w:tc>
          <w:tcPr>
            <w:tcW w:w="2439" w:type="dxa"/>
          </w:tcPr>
          <w:p w14:paraId="7B654C47" w14:textId="77777777" w:rsidR="00032C85" w:rsidRPr="00941BB5" w:rsidRDefault="00032C85" w:rsidP="00302082">
            <w:pPr>
              <w:spacing w:after="120"/>
              <w:rPr>
                <w:rFonts w:ascii="Arial" w:hAnsi="Arial" w:cs="Arial"/>
              </w:rPr>
            </w:pPr>
            <w:r w:rsidRPr="00941BB5">
              <w:rPr>
                <w:rFonts w:ascii="Arial" w:hAnsi="Arial" w:cs="Arial"/>
              </w:rPr>
              <w:t>Private Study</w:t>
            </w:r>
          </w:p>
        </w:tc>
        <w:tc>
          <w:tcPr>
            <w:tcW w:w="567" w:type="dxa"/>
          </w:tcPr>
          <w:p w14:paraId="782C314E"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526C84BB"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282CDC77"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5C129599"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5001FCA7"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774665FC"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62C37426"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7F4BBC87"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178C885F" w14:textId="77777777" w:rsidR="00032C85" w:rsidRPr="00941BB5" w:rsidRDefault="00032C85" w:rsidP="00941BB5">
            <w:pPr>
              <w:spacing w:after="120"/>
              <w:jc w:val="center"/>
              <w:rPr>
                <w:rFonts w:ascii="Arial" w:hAnsi="Arial" w:cs="Arial"/>
              </w:rPr>
            </w:pPr>
            <w:r w:rsidRPr="00941BB5">
              <w:rPr>
                <w:rFonts w:ascii="Arial" w:hAnsi="Arial" w:cs="Arial"/>
              </w:rPr>
              <w:t>X</w:t>
            </w:r>
          </w:p>
        </w:tc>
      </w:tr>
      <w:tr w:rsidR="00032C85" w:rsidRPr="00302082" w14:paraId="7CF5C790" w14:textId="77777777" w:rsidTr="00941BB5">
        <w:trPr>
          <w:jc w:val="center"/>
        </w:trPr>
        <w:tc>
          <w:tcPr>
            <w:tcW w:w="2439" w:type="dxa"/>
          </w:tcPr>
          <w:p w14:paraId="2C2B3471" w14:textId="77777777" w:rsidR="00032C85" w:rsidRPr="00941BB5" w:rsidRDefault="00032C85" w:rsidP="00302082">
            <w:pPr>
              <w:spacing w:after="120"/>
              <w:rPr>
                <w:rFonts w:ascii="Arial" w:hAnsi="Arial" w:cs="Arial"/>
              </w:rPr>
            </w:pPr>
            <w:r w:rsidRPr="00941BB5">
              <w:rPr>
                <w:rFonts w:ascii="Arial" w:hAnsi="Arial" w:cs="Arial"/>
              </w:rPr>
              <w:t>Lecture</w:t>
            </w:r>
          </w:p>
        </w:tc>
        <w:tc>
          <w:tcPr>
            <w:tcW w:w="567" w:type="dxa"/>
          </w:tcPr>
          <w:p w14:paraId="10879EA8"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3DDE5113"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14D908AB"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652E3587"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38C858BB"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7900CBDB"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2E998D2A"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53C960CB"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6F933218" w14:textId="77777777" w:rsidR="00032C85" w:rsidRPr="00941BB5" w:rsidRDefault="00032C85" w:rsidP="00941BB5">
            <w:pPr>
              <w:spacing w:after="120"/>
              <w:jc w:val="center"/>
              <w:rPr>
                <w:rFonts w:ascii="Arial" w:hAnsi="Arial" w:cs="Arial"/>
              </w:rPr>
            </w:pPr>
          </w:p>
        </w:tc>
      </w:tr>
      <w:tr w:rsidR="00032C85" w:rsidRPr="00302082" w14:paraId="6EB7AF25" w14:textId="77777777" w:rsidTr="00941BB5">
        <w:trPr>
          <w:jc w:val="center"/>
        </w:trPr>
        <w:tc>
          <w:tcPr>
            <w:tcW w:w="2439" w:type="dxa"/>
          </w:tcPr>
          <w:p w14:paraId="7BF5E176" w14:textId="77777777" w:rsidR="00032C85" w:rsidRPr="00941BB5" w:rsidRDefault="00032C85" w:rsidP="00302082">
            <w:pPr>
              <w:spacing w:after="120"/>
              <w:rPr>
                <w:rFonts w:ascii="Arial" w:hAnsi="Arial" w:cs="Arial"/>
              </w:rPr>
            </w:pPr>
            <w:r w:rsidRPr="00941BB5">
              <w:rPr>
                <w:rFonts w:ascii="Arial" w:hAnsi="Arial" w:cs="Arial"/>
              </w:rPr>
              <w:t>Seminar</w:t>
            </w:r>
          </w:p>
        </w:tc>
        <w:tc>
          <w:tcPr>
            <w:tcW w:w="567" w:type="dxa"/>
          </w:tcPr>
          <w:p w14:paraId="22D75957"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3A8B209E"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066F2837"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71667F26"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0428C55A"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2B27BA94"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2E2D920A"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25484E0B"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61E6CF9D" w14:textId="77777777" w:rsidR="00032C85" w:rsidRPr="00941BB5" w:rsidRDefault="00032C85" w:rsidP="00941BB5">
            <w:pPr>
              <w:spacing w:after="120"/>
              <w:jc w:val="center"/>
              <w:rPr>
                <w:rFonts w:ascii="Arial" w:hAnsi="Arial" w:cs="Arial"/>
              </w:rPr>
            </w:pPr>
            <w:r w:rsidRPr="00941BB5">
              <w:rPr>
                <w:rFonts w:ascii="Arial" w:hAnsi="Arial" w:cs="Arial"/>
              </w:rPr>
              <w:t>X</w:t>
            </w:r>
          </w:p>
        </w:tc>
      </w:tr>
      <w:tr w:rsidR="00032C85" w:rsidRPr="00302082" w14:paraId="0655CB52" w14:textId="77777777" w:rsidTr="00941BB5">
        <w:trPr>
          <w:jc w:val="center"/>
        </w:trPr>
        <w:tc>
          <w:tcPr>
            <w:tcW w:w="2439" w:type="dxa"/>
            <w:shd w:val="clear" w:color="auto" w:fill="D9D9D9" w:themeFill="background1" w:themeFillShade="D9"/>
          </w:tcPr>
          <w:p w14:paraId="17C71AFA" w14:textId="77777777" w:rsidR="00032C85" w:rsidRPr="00302082" w:rsidRDefault="00032C85" w:rsidP="00302082">
            <w:pPr>
              <w:spacing w:after="120"/>
              <w:rPr>
                <w:rFonts w:ascii="Arial" w:hAnsi="Arial" w:cs="Arial"/>
                <w:b/>
              </w:rPr>
            </w:pPr>
            <w:r w:rsidRPr="00302082">
              <w:rPr>
                <w:rFonts w:ascii="Arial" w:hAnsi="Arial" w:cs="Arial"/>
                <w:b/>
              </w:rPr>
              <w:t>Assessment method</w:t>
            </w:r>
          </w:p>
        </w:tc>
        <w:tc>
          <w:tcPr>
            <w:tcW w:w="567" w:type="dxa"/>
          </w:tcPr>
          <w:p w14:paraId="4C62981A" w14:textId="77777777" w:rsidR="00032C85" w:rsidRPr="00302082" w:rsidRDefault="00032C85" w:rsidP="00941BB5">
            <w:pPr>
              <w:spacing w:after="120"/>
              <w:jc w:val="center"/>
              <w:rPr>
                <w:rFonts w:ascii="Arial" w:hAnsi="Arial" w:cs="Arial"/>
                <w:b/>
              </w:rPr>
            </w:pPr>
          </w:p>
        </w:tc>
        <w:tc>
          <w:tcPr>
            <w:tcW w:w="567" w:type="dxa"/>
          </w:tcPr>
          <w:p w14:paraId="7D71E885" w14:textId="77777777" w:rsidR="00032C85" w:rsidRPr="00302082" w:rsidRDefault="00032C85" w:rsidP="00941BB5">
            <w:pPr>
              <w:spacing w:after="120"/>
              <w:jc w:val="center"/>
              <w:rPr>
                <w:rFonts w:ascii="Arial" w:hAnsi="Arial" w:cs="Arial"/>
                <w:b/>
              </w:rPr>
            </w:pPr>
          </w:p>
        </w:tc>
        <w:tc>
          <w:tcPr>
            <w:tcW w:w="567" w:type="dxa"/>
          </w:tcPr>
          <w:p w14:paraId="15F236AC" w14:textId="77777777" w:rsidR="00032C85" w:rsidRPr="00302082" w:rsidRDefault="00032C85" w:rsidP="00941BB5">
            <w:pPr>
              <w:spacing w:after="120"/>
              <w:jc w:val="center"/>
              <w:rPr>
                <w:rFonts w:ascii="Arial" w:hAnsi="Arial" w:cs="Arial"/>
                <w:b/>
              </w:rPr>
            </w:pPr>
          </w:p>
        </w:tc>
        <w:tc>
          <w:tcPr>
            <w:tcW w:w="567" w:type="dxa"/>
          </w:tcPr>
          <w:p w14:paraId="08281DCF" w14:textId="77777777" w:rsidR="00032C85" w:rsidRPr="00302082" w:rsidRDefault="00032C85" w:rsidP="00941BB5">
            <w:pPr>
              <w:spacing w:after="120"/>
              <w:jc w:val="center"/>
              <w:rPr>
                <w:rFonts w:ascii="Arial" w:hAnsi="Arial" w:cs="Arial"/>
                <w:b/>
              </w:rPr>
            </w:pPr>
          </w:p>
        </w:tc>
        <w:tc>
          <w:tcPr>
            <w:tcW w:w="567" w:type="dxa"/>
          </w:tcPr>
          <w:p w14:paraId="060C3FF5" w14:textId="77777777" w:rsidR="00032C85" w:rsidRPr="00302082" w:rsidRDefault="00032C85" w:rsidP="00941BB5">
            <w:pPr>
              <w:spacing w:after="120"/>
              <w:jc w:val="center"/>
              <w:rPr>
                <w:rFonts w:ascii="Arial" w:hAnsi="Arial" w:cs="Arial"/>
                <w:b/>
              </w:rPr>
            </w:pPr>
          </w:p>
        </w:tc>
        <w:tc>
          <w:tcPr>
            <w:tcW w:w="567" w:type="dxa"/>
          </w:tcPr>
          <w:p w14:paraId="1EFE3E7F" w14:textId="77777777" w:rsidR="00032C85" w:rsidRPr="00302082" w:rsidRDefault="00032C85" w:rsidP="00941BB5">
            <w:pPr>
              <w:spacing w:after="120"/>
              <w:jc w:val="center"/>
              <w:rPr>
                <w:rFonts w:ascii="Arial" w:hAnsi="Arial" w:cs="Arial"/>
                <w:b/>
              </w:rPr>
            </w:pPr>
          </w:p>
        </w:tc>
        <w:tc>
          <w:tcPr>
            <w:tcW w:w="567" w:type="dxa"/>
          </w:tcPr>
          <w:p w14:paraId="1AB05339" w14:textId="77777777" w:rsidR="00032C85" w:rsidRPr="00302082" w:rsidRDefault="00032C85" w:rsidP="00941BB5">
            <w:pPr>
              <w:spacing w:after="120"/>
              <w:jc w:val="center"/>
              <w:rPr>
                <w:rFonts w:ascii="Arial" w:hAnsi="Arial" w:cs="Arial"/>
                <w:b/>
              </w:rPr>
            </w:pPr>
          </w:p>
        </w:tc>
        <w:tc>
          <w:tcPr>
            <w:tcW w:w="567" w:type="dxa"/>
          </w:tcPr>
          <w:p w14:paraId="79757750" w14:textId="77777777" w:rsidR="00032C85" w:rsidRPr="00302082" w:rsidRDefault="00032C85" w:rsidP="00941BB5">
            <w:pPr>
              <w:spacing w:after="120"/>
              <w:jc w:val="center"/>
              <w:rPr>
                <w:rFonts w:ascii="Arial" w:hAnsi="Arial" w:cs="Arial"/>
                <w:b/>
              </w:rPr>
            </w:pPr>
          </w:p>
        </w:tc>
        <w:tc>
          <w:tcPr>
            <w:tcW w:w="567" w:type="dxa"/>
          </w:tcPr>
          <w:p w14:paraId="2A6F2E73" w14:textId="77777777" w:rsidR="00032C85" w:rsidRPr="00302082" w:rsidRDefault="00032C85" w:rsidP="00941BB5">
            <w:pPr>
              <w:spacing w:after="120"/>
              <w:jc w:val="center"/>
              <w:rPr>
                <w:rFonts w:ascii="Arial" w:hAnsi="Arial" w:cs="Arial"/>
                <w:b/>
              </w:rPr>
            </w:pPr>
          </w:p>
        </w:tc>
      </w:tr>
      <w:tr w:rsidR="00032C85" w:rsidRPr="00302082" w14:paraId="7FA9D5EA" w14:textId="77777777" w:rsidTr="00941BB5">
        <w:trPr>
          <w:jc w:val="center"/>
        </w:trPr>
        <w:tc>
          <w:tcPr>
            <w:tcW w:w="2439" w:type="dxa"/>
          </w:tcPr>
          <w:p w14:paraId="2465BE97" w14:textId="77777777" w:rsidR="00032C85" w:rsidRPr="00941BB5" w:rsidRDefault="00032C85" w:rsidP="00302082">
            <w:pPr>
              <w:spacing w:after="120"/>
              <w:rPr>
                <w:rFonts w:ascii="Arial" w:hAnsi="Arial" w:cs="Arial"/>
              </w:rPr>
            </w:pPr>
            <w:r w:rsidRPr="00941BB5">
              <w:rPr>
                <w:rFonts w:ascii="Arial" w:hAnsi="Arial" w:cs="Arial"/>
              </w:rPr>
              <w:t>In-class test</w:t>
            </w:r>
            <w:r w:rsidR="00941BB5">
              <w:rPr>
                <w:rFonts w:ascii="Arial" w:hAnsi="Arial" w:cs="Arial"/>
              </w:rPr>
              <w:t xml:space="preserve"> 1</w:t>
            </w:r>
          </w:p>
        </w:tc>
        <w:tc>
          <w:tcPr>
            <w:tcW w:w="567" w:type="dxa"/>
          </w:tcPr>
          <w:p w14:paraId="6E4D6A5D"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2AF664E0"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4988BF37"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1E1C72A8"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44674A0F"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4990EFAD"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58478B99"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4BC35EEC" w14:textId="77777777" w:rsidR="00032C85" w:rsidRPr="00941BB5" w:rsidRDefault="00032C85" w:rsidP="00941BB5">
            <w:pPr>
              <w:spacing w:after="120"/>
              <w:jc w:val="center"/>
              <w:rPr>
                <w:rFonts w:ascii="Arial" w:hAnsi="Arial" w:cs="Arial"/>
              </w:rPr>
            </w:pPr>
            <w:r w:rsidRPr="00941BB5">
              <w:rPr>
                <w:rFonts w:ascii="Arial" w:hAnsi="Arial" w:cs="Arial"/>
              </w:rPr>
              <w:t>X</w:t>
            </w:r>
          </w:p>
        </w:tc>
        <w:tc>
          <w:tcPr>
            <w:tcW w:w="567" w:type="dxa"/>
          </w:tcPr>
          <w:p w14:paraId="211D649E" w14:textId="77777777" w:rsidR="00032C85" w:rsidRPr="00941BB5" w:rsidRDefault="00032C85" w:rsidP="00941BB5">
            <w:pPr>
              <w:spacing w:after="120"/>
              <w:jc w:val="center"/>
              <w:rPr>
                <w:rFonts w:ascii="Arial" w:hAnsi="Arial" w:cs="Arial"/>
              </w:rPr>
            </w:pPr>
            <w:r w:rsidRPr="00941BB5">
              <w:rPr>
                <w:rFonts w:ascii="Arial" w:hAnsi="Arial" w:cs="Arial"/>
              </w:rPr>
              <w:t>X</w:t>
            </w:r>
          </w:p>
        </w:tc>
      </w:tr>
      <w:tr w:rsidR="00941BB5" w:rsidRPr="00302082" w14:paraId="116BB91F" w14:textId="77777777" w:rsidTr="00941BB5">
        <w:trPr>
          <w:jc w:val="center"/>
        </w:trPr>
        <w:tc>
          <w:tcPr>
            <w:tcW w:w="2439" w:type="dxa"/>
          </w:tcPr>
          <w:p w14:paraId="31806E04" w14:textId="77777777" w:rsidR="00941BB5" w:rsidRPr="00941BB5" w:rsidRDefault="00941BB5" w:rsidP="00302082">
            <w:pPr>
              <w:spacing w:after="120"/>
              <w:rPr>
                <w:rFonts w:ascii="Arial" w:hAnsi="Arial" w:cs="Arial"/>
              </w:rPr>
            </w:pPr>
            <w:r w:rsidRPr="00941BB5">
              <w:rPr>
                <w:rFonts w:ascii="Arial" w:hAnsi="Arial" w:cs="Arial"/>
              </w:rPr>
              <w:t>In-class test</w:t>
            </w:r>
            <w:r>
              <w:rPr>
                <w:rFonts w:ascii="Arial" w:hAnsi="Arial" w:cs="Arial"/>
              </w:rPr>
              <w:t xml:space="preserve"> 2</w:t>
            </w:r>
          </w:p>
        </w:tc>
        <w:tc>
          <w:tcPr>
            <w:tcW w:w="567" w:type="dxa"/>
          </w:tcPr>
          <w:p w14:paraId="27095A9C" w14:textId="47D78D36" w:rsidR="00941BB5" w:rsidRPr="00941BB5" w:rsidRDefault="00A751F7" w:rsidP="00941BB5">
            <w:pPr>
              <w:spacing w:after="120"/>
              <w:jc w:val="center"/>
              <w:rPr>
                <w:rFonts w:ascii="Arial" w:hAnsi="Arial" w:cs="Arial"/>
              </w:rPr>
            </w:pPr>
            <w:r>
              <w:rPr>
                <w:rFonts w:ascii="Arial" w:hAnsi="Arial" w:cs="Arial"/>
              </w:rPr>
              <w:t>X</w:t>
            </w:r>
          </w:p>
        </w:tc>
        <w:tc>
          <w:tcPr>
            <w:tcW w:w="567" w:type="dxa"/>
          </w:tcPr>
          <w:p w14:paraId="2CE5CD44" w14:textId="406555B2" w:rsidR="00941BB5" w:rsidRPr="00941BB5" w:rsidRDefault="00A751F7" w:rsidP="00941BB5">
            <w:pPr>
              <w:spacing w:after="120"/>
              <w:jc w:val="center"/>
              <w:rPr>
                <w:rFonts w:ascii="Arial" w:hAnsi="Arial" w:cs="Arial"/>
              </w:rPr>
            </w:pPr>
            <w:r>
              <w:rPr>
                <w:rFonts w:ascii="Arial" w:hAnsi="Arial" w:cs="Arial"/>
              </w:rPr>
              <w:t>X</w:t>
            </w:r>
          </w:p>
        </w:tc>
        <w:tc>
          <w:tcPr>
            <w:tcW w:w="567" w:type="dxa"/>
          </w:tcPr>
          <w:p w14:paraId="07008532" w14:textId="12B5CCC3" w:rsidR="00941BB5" w:rsidRPr="00941BB5" w:rsidRDefault="00A751F7" w:rsidP="00941BB5">
            <w:pPr>
              <w:spacing w:after="120"/>
              <w:jc w:val="center"/>
              <w:rPr>
                <w:rFonts w:ascii="Arial" w:hAnsi="Arial" w:cs="Arial"/>
              </w:rPr>
            </w:pPr>
            <w:r>
              <w:rPr>
                <w:rFonts w:ascii="Arial" w:hAnsi="Arial" w:cs="Arial"/>
              </w:rPr>
              <w:t>X</w:t>
            </w:r>
          </w:p>
        </w:tc>
        <w:tc>
          <w:tcPr>
            <w:tcW w:w="567" w:type="dxa"/>
          </w:tcPr>
          <w:p w14:paraId="3A027A53" w14:textId="1CE9708A" w:rsidR="00941BB5" w:rsidRPr="00941BB5" w:rsidRDefault="00A751F7" w:rsidP="00941BB5">
            <w:pPr>
              <w:spacing w:after="120"/>
              <w:jc w:val="center"/>
              <w:rPr>
                <w:rFonts w:ascii="Arial" w:hAnsi="Arial" w:cs="Arial"/>
              </w:rPr>
            </w:pPr>
            <w:r>
              <w:rPr>
                <w:rFonts w:ascii="Arial" w:hAnsi="Arial" w:cs="Arial"/>
              </w:rPr>
              <w:t>X</w:t>
            </w:r>
          </w:p>
        </w:tc>
        <w:tc>
          <w:tcPr>
            <w:tcW w:w="567" w:type="dxa"/>
          </w:tcPr>
          <w:p w14:paraId="0C1B8D9C" w14:textId="291693DE" w:rsidR="00941BB5" w:rsidRPr="00941BB5" w:rsidRDefault="00A751F7" w:rsidP="00941BB5">
            <w:pPr>
              <w:spacing w:after="120"/>
              <w:jc w:val="center"/>
              <w:rPr>
                <w:rFonts w:ascii="Arial" w:hAnsi="Arial" w:cs="Arial"/>
              </w:rPr>
            </w:pPr>
            <w:r>
              <w:rPr>
                <w:rFonts w:ascii="Arial" w:hAnsi="Arial" w:cs="Arial"/>
              </w:rPr>
              <w:t>X</w:t>
            </w:r>
          </w:p>
        </w:tc>
        <w:tc>
          <w:tcPr>
            <w:tcW w:w="567" w:type="dxa"/>
          </w:tcPr>
          <w:p w14:paraId="181449C7" w14:textId="5F2F276D" w:rsidR="00941BB5" w:rsidRPr="00941BB5" w:rsidRDefault="00A751F7" w:rsidP="00941BB5">
            <w:pPr>
              <w:spacing w:after="120"/>
              <w:jc w:val="center"/>
              <w:rPr>
                <w:rFonts w:ascii="Arial" w:hAnsi="Arial" w:cs="Arial"/>
              </w:rPr>
            </w:pPr>
            <w:r>
              <w:rPr>
                <w:rFonts w:ascii="Arial" w:hAnsi="Arial" w:cs="Arial"/>
              </w:rPr>
              <w:t>X</w:t>
            </w:r>
          </w:p>
        </w:tc>
        <w:tc>
          <w:tcPr>
            <w:tcW w:w="567" w:type="dxa"/>
          </w:tcPr>
          <w:p w14:paraId="5D5F224B" w14:textId="45982DC7" w:rsidR="00941BB5" w:rsidRPr="00941BB5" w:rsidRDefault="00A751F7" w:rsidP="00941BB5">
            <w:pPr>
              <w:spacing w:after="120"/>
              <w:jc w:val="center"/>
              <w:rPr>
                <w:rFonts w:ascii="Arial" w:hAnsi="Arial" w:cs="Arial"/>
              </w:rPr>
            </w:pPr>
            <w:r>
              <w:rPr>
                <w:rFonts w:ascii="Arial" w:hAnsi="Arial" w:cs="Arial"/>
              </w:rPr>
              <w:t>X</w:t>
            </w:r>
          </w:p>
        </w:tc>
        <w:tc>
          <w:tcPr>
            <w:tcW w:w="567" w:type="dxa"/>
          </w:tcPr>
          <w:p w14:paraId="25B390A2" w14:textId="7104ACCB" w:rsidR="00941BB5" w:rsidRPr="00941BB5" w:rsidRDefault="00A751F7" w:rsidP="00941BB5">
            <w:pPr>
              <w:spacing w:after="120"/>
              <w:jc w:val="center"/>
              <w:rPr>
                <w:rFonts w:ascii="Arial" w:hAnsi="Arial" w:cs="Arial"/>
              </w:rPr>
            </w:pPr>
            <w:r>
              <w:rPr>
                <w:rFonts w:ascii="Arial" w:hAnsi="Arial" w:cs="Arial"/>
              </w:rPr>
              <w:t>X</w:t>
            </w:r>
          </w:p>
        </w:tc>
        <w:tc>
          <w:tcPr>
            <w:tcW w:w="567" w:type="dxa"/>
          </w:tcPr>
          <w:p w14:paraId="74C05437" w14:textId="6F661AEE" w:rsidR="00941BB5" w:rsidRPr="00941BB5" w:rsidRDefault="00A751F7" w:rsidP="00941BB5">
            <w:pPr>
              <w:spacing w:after="120"/>
              <w:jc w:val="center"/>
              <w:rPr>
                <w:rFonts w:ascii="Arial" w:hAnsi="Arial" w:cs="Arial"/>
              </w:rPr>
            </w:pPr>
            <w:r>
              <w:rPr>
                <w:rFonts w:ascii="Arial" w:hAnsi="Arial" w:cs="Arial"/>
              </w:rPr>
              <w:t>X</w:t>
            </w:r>
          </w:p>
        </w:tc>
      </w:tr>
    </w:tbl>
    <w:p w14:paraId="219F880A" w14:textId="77777777" w:rsidR="007A6245" w:rsidRDefault="007A6245" w:rsidP="00302082">
      <w:pPr>
        <w:spacing w:after="120" w:line="240" w:lineRule="auto"/>
        <w:ind w:left="426" w:right="260"/>
        <w:rPr>
          <w:rFonts w:ascii="Arial" w:hAnsi="Arial" w:cs="Arial"/>
          <w:b/>
          <w:iCs/>
        </w:rPr>
      </w:pPr>
    </w:p>
    <w:p w14:paraId="0032A78D" w14:textId="77777777" w:rsidR="00883204" w:rsidRPr="00D50113" w:rsidRDefault="00883204" w:rsidP="00696FF5">
      <w:pPr>
        <w:numPr>
          <w:ilvl w:val="0"/>
          <w:numId w:val="1"/>
        </w:numPr>
        <w:spacing w:after="120" w:line="240" w:lineRule="auto"/>
        <w:ind w:left="567" w:right="260" w:hanging="567"/>
        <w:jc w:val="both"/>
        <w:rPr>
          <w:rFonts w:ascii="Arial" w:hAnsi="Arial" w:cs="Arial"/>
          <w:iCs/>
        </w:rPr>
      </w:pPr>
      <w:r>
        <w:rPr>
          <w:rFonts w:ascii="Arial" w:hAnsi="Arial" w:cs="Arial"/>
          <w:b/>
          <w:bCs/>
        </w:rPr>
        <w:t>Inclusive m</w:t>
      </w:r>
      <w:r w:rsidRPr="00D50113">
        <w:rPr>
          <w:rFonts w:ascii="Arial" w:hAnsi="Arial" w:cs="Arial"/>
          <w:b/>
          <w:bCs/>
        </w:rPr>
        <w:t xml:space="preserve">odule </w:t>
      </w:r>
      <w:r>
        <w:rPr>
          <w:rFonts w:ascii="Arial" w:hAnsi="Arial" w:cs="Arial"/>
          <w:b/>
          <w:bCs/>
        </w:rPr>
        <w:t>d</w:t>
      </w:r>
      <w:r w:rsidRPr="00D50113">
        <w:rPr>
          <w:rFonts w:ascii="Arial" w:hAnsi="Arial" w:cs="Arial"/>
          <w:b/>
          <w:bCs/>
        </w:rPr>
        <w:t xml:space="preserve">esign </w:t>
      </w:r>
    </w:p>
    <w:p w14:paraId="325288E1" w14:textId="77777777" w:rsidR="00883204" w:rsidRPr="00D50113" w:rsidRDefault="00883204" w:rsidP="00696FF5">
      <w:pPr>
        <w:autoSpaceDE w:val="0"/>
        <w:autoSpaceDN w:val="0"/>
        <w:adjustRightInd w:val="0"/>
        <w:spacing w:after="120" w:line="240" w:lineRule="auto"/>
        <w:ind w:left="567" w:right="260"/>
        <w:jc w:val="both"/>
        <w:rPr>
          <w:rFonts w:ascii="Arial" w:hAnsi="Arial" w:cs="Arial"/>
        </w:rPr>
      </w:pPr>
      <w:r w:rsidRPr="00D50113">
        <w:rPr>
          <w:rFonts w:ascii="Arial" w:hAnsi="Arial" w:cs="Arial"/>
        </w:rPr>
        <w:t>The School</w:t>
      </w:r>
      <w:r w:rsidR="00941BB5">
        <w:rPr>
          <w:rFonts w:ascii="Arial" w:hAnsi="Arial" w:cs="Arial"/>
        </w:rPr>
        <w:t>/Division</w:t>
      </w:r>
      <w:r w:rsidRPr="00D50113">
        <w:rPr>
          <w:rFonts w:ascii="Arial" w:hAnsi="Arial" w:cs="Arial"/>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2359E7DC" w14:textId="77777777" w:rsidR="00883204" w:rsidRPr="00D50113" w:rsidRDefault="00883204" w:rsidP="00696FF5">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inclusive practices in the guidance (see </w:t>
      </w:r>
      <w:r>
        <w:rPr>
          <w:rFonts w:ascii="Arial" w:hAnsi="Arial" w:cs="Arial"/>
        </w:rPr>
        <w:t xml:space="preserve">Annex B </w:t>
      </w:r>
      <w:r w:rsidRPr="00D50113">
        <w:rPr>
          <w:rFonts w:ascii="Arial" w:hAnsi="Arial" w:cs="Arial"/>
        </w:rPr>
        <w:t>Appendix</w:t>
      </w:r>
      <w:r>
        <w:rPr>
          <w:rFonts w:ascii="Arial" w:hAnsi="Arial" w:cs="Arial"/>
        </w:rPr>
        <w:t xml:space="preserve"> A</w:t>
      </w:r>
      <w:r w:rsidRPr="00D50113">
        <w:rPr>
          <w:rFonts w:ascii="Arial" w:hAnsi="Arial" w:cs="Arial"/>
        </w:rPr>
        <w:t>) have been considered in order to support all students in the following areas:</w:t>
      </w:r>
    </w:p>
    <w:p w14:paraId="4B20B169" w14:textId="77777777" w:rsidR="00883204" w:rsidRPr="00D50113" w:rsidRDefault="00883204" w:rsidP="00696FF5">
      <w:pPr>
        <w:autoSpaceDE w:val="0"/>
        <w:autoSpaceDN w:val="0"/>
        <w:adjustRightInd w:val="0"/>
        <w:spacing w:after="120" w:line="240" w:lineRule="auto"/>
        <w:ind w:left="567" w:right="260"/>
        <w:jc w:val="both"/>
        <w:rPr>
          <w:rFonts w:ascii="Arial" w:hAnsi="Arial" w:cs="Arial"/>
          <w:bCs/>
        </w:rPr>
      </w:pPr>
      <w:r w:rsidRPr="00D50113">
        <w:rPr>
          <w:rFonts w:ascii="Arial" w:hAnsi="Arial" w:cs="Arial"/>
        </w:rPr>
        <w:t xml:space="preserve">a) </w:t>
      </w:r>
      <w:r w:rsidRPr="00D50113">
        <w:rPr>
          <w:rFonts w:ascii="Arial" w:hAnsi="Arial" w:cs="Arial"/>
          <w:bCs/>
        </w:rPr>
        <w:t>Accessible resources and curriculum</w:t>
      </w:r>
    </w:p>
    <w:p w14:paraId="4042DA1B" w14:textId="77777777" w:rsidR="009A2D37" w:rsidRPr="009E5D63" w:rsidRDefault="00883204" w:rsidP="009E5D63">
      <w:pPr>
        <w:tabs>
          <w:tab w:val="left" w:pos="567"/>
        </w:tabs>
        <w:autoSpaceDE w:val="0"/>
        <w:autoSpaceDN w:val="0"/>
        <w:adjustRightInd w:val="0"/>
        <w:spacing w:after="120" w:line="240" w:lineRule="auto"/>
        <w:ind w:left="567" w:right="260"/>
        <w:jc w:val="both"/>
        <w:rPr>
          <w:rFonts w:ascii="Arial" w:hAnsi="Arial" w:cs="Arial"/>
          <w:color w:val="000000"/>
        </w:rPr>
      </w:pPr>
      <w:r w:rsidRPr="00D50113">
        <w:rPr>
          <w:rFonts w:ascii="Arial" w:hAnsi="Arial" w:cs="Arial"/>
        </w:rPr>
        <w:t xml:space="preserve">b) </w:t>
      </w:r>
      <w:r w:rsidRPr="00D50113">
        <w:rPr>
          <w:rFonts w:ascii="Arial" w:hAnsi="Arial" w:cs="Arial"/>
          <w:bCs/>
        </w:rPr>
        <w:t>Learning</w:t>
      </w:r>
      <w:r w:rsidR="00BB2045">
        <w:rPr>
          <w:rFonts w:ascii="Arial" w:hAnsi="Arial" w:cs="Arial"/>
          <w:bCs/>
        </w:rPr>
        <w:t>,</w:t>
      </w:r>
      <w:r w:rsidRPr="00D50113">
        <w:rPr>
          <w:rFonts w:ascii="Arial" w:hAnsi="Arial" w:cs="Arial"/>
          <w:bCs/>
        </w:rPr>
        <w:t xml:space="preserve"> teaching and assessment methods</w:t>
      </w:r>
    </w:p>
    <w:p w14:paraId="5FB60E94" w14:textId="77777777" w:rsidR="00096DA4" w:rsidRPr="00302082" w:rsidRDefault="00096DA4" w:rsidP="00302082">
      <w:pPr>
        <w:spacing w:after="120" w:line="240" w:lineRule="auto"/>
        <w:ind w:left="426" w:right="260"/>
        <w:rPr>
          <w:rFonts w:ascii="Arial" w:hAnsi="Arial" w:cs="Arial"/>
          <w:i/>
          <w:iCs/>
        </w:rPr>
      </w:pPr>
    </w:p>
    <w:p w14:paraId="665A3C9F" w14:textId="77777777" w:rsidR="009A2D37" w:rsidRPr="00302082" w:rsidRDefault="00883204" w:rsidP="00696FF5">
      <w:pPr>
        <w:numPr>
          <w:ilvl w:val="0"/>
          <w:numId w:val="1"/>
        </w:numPr>
        <w:spacing w:after="120" w:line="240" w:lineRule="auto"/>
        <w:ind w:left="567" w:right="260" w:hanging="567"/>
        <w:jc w:val="both"/>
        <w:rPr>
          <w:rFonts w:ascii="Arial" w:hAnsi="Arial" w:cs="Arial"/>
          <w:b/>
        </w:rPr>
      </w:pPr>
      <w:r>
        <w:rPr>
          <w:rFonts w:ascii="Arial" w:hAnsi="Arial" w:cs="Arial"/>
          <w:b/>
        </w:rPr>
        <w:t>Campus(es) or c</w:t>
      </w:r>
      <w:r w:rsidR="009A2D37" w:rsidRPr="00302082">
        <w:rPr>
          <w:rFonts w:ascii="Arial" w:hAnsi="Arial" w:cs="Arial"/>
          <w:b/>
        </w:rPr>
        <w:t>entre(s)</w:t>
      </w:r>
      <w:r>
        <w:rPr>
          <w:rFonts w:ascii="Arial" w:hAnsi="Arial" w:cs="Arial"/>
          <w:b/>
        </w:rPr>
        <w:t xml:space="preserve"> where module will be delivered</w:t>
      </w:r>
    </w:p>
    <w:p w14:paraId="2ED49F71" w14:textId="77777777" w:rsidR="009A2D37" w:rsidRPr="009E5D63" w:rsidRDefault="009E5D63" w:rsidP="00696FF5">
      <w:pPr>
        <w:spacing w:after="120" w:line="240" w:lineRule="auto"/>
        <w:ind w:left="567" w:right="260"/>
        <w:jc w:val="both"/>
        <w:rPr>
          <w:rFonts w:ascii="Arial" w:hAnsi="Arial" w:cs="Arial"/>
          <w:b/>
        </w:rPr>
      </w:pPr>
      <w:r>
        <w:rPr>
          <w:rFonts w:ascii="Arial" w:hAnsi="Arial" w:cs="Arial"/>
        </w:rPr>
        <w:t>Medway</w:t>
      </w:r>
    </w:p>
    <w:p w14:paraId="2DF5794F" w14:textId="77777777" w:rsidR="009A2D37" w:rsidRDefault="009A2D37" w:rsidP="00302082">
      <w:pPr>
        <w:spacing w:after="120" w:line="240" w:lineRule="auto"/>
        <w:ind w:left="426" w:right="260"/>
        <w:rPr>
          <w:rFonts w:ascii="Arial" w:hAnsi="Arial" w:cs="Arial"/>
          <w:i/>
          <w:iCs/>
        </w:rPr>
      </w:pPr>
    </w:p>
    <w:p w14:paraId="3D3B9B93" w14:textId="77777777" w:rsidR="00883204" w:rsidRPr="002A7F48" w:rsidRDefault="00883204" w:rsidP="00696FF5">
      <w:pPr>
        <w:numPr>
          <w:ilvl w:val="0"/>
          <w:numId w:val="1"/>
        </w:numPr>
        <w:spacing w:after="120" w:line="240" w:lineRule="auto"/>
        <w:ind w:left="567" w:right="261" w:hanging="568"/>
        <w:jc w:val="both"/>
        <w:rPr>
          <w:rFonts w:ascii="Arial" w:hAnsi="Arial" w:cs="Arial"/>
          <w:b/>
        </w:rPr>
      </w:pPr>
      <w:r w:rsidRPr="002A7F48">
        <w:rPr>
          <w:rFonts w:ascii="Arial" w:hAnsi="Arial" w:cs="Arial"/>
          <w:b/>
        </w:rPr>
        <w:t xml:space="preserve">Internationalisation </w:t>
      </w:r>
    </w:p>
    <w:p w14:paraId="32CC2202" w14:textId="77777777" w:rsidR="00941BB5" w:rsidRPr="00941BB5" w:rsidRDefault="000646BF" w:rsidP="00941BB5">
      <w:pPr>
        <w:spacing w:after="120" w:line="240" w:lineRule="auto"/>
        <w:ind w:left="567" w:right="260"/>
        <w:jc w:val="both"/>
        <w:rPr>
          <w:rFonts w:ascii="Arial" w:hAnsi="Arial" w:cs="Arial"/>
          <w:iCs/>
        </w:rPr>
      </w:pPr>
      <w:r w:rsidRPr="000646BF">
        <w:rPr>
          <w:rFonts w:ascii="Arial" w:hAnsi="Arial" w:cs="Arial"/>
        </w:rPr>
        <w:t>The mod</w:t>
      </w:r>
      <w:r>
        <w:rPr>
          <w:rFonts w:ascii="Arial" w:hAnsi="Arial" w:cs="Arial"/>
        </w:rPr>
        <w:t>ule focuses on the British political system to prepare students to sit professional exams set by the National Council for the Training of Journalists (NCTJ) and to enable them to find employment as journalists in the UK. The module does not presume a familiarity with national or regional structures of government in the UK to ensure it is accessible to international students. Discussions of alternative systems of representative democracy and government structures will be used in class to illustrate the benefits and shortcomings of the UK model, and students will be encouraged to discuss their own experiences from a diverse range of backgrounds.</w:t>
      </w:r>
      <w:r w:rsidR="00941BB5">
        <w:rPr>
          <w:rFonts w:ascii="Arial" w:hAnsi="Arial" w:cs="Arial"/>
          <w:b/>
          <w:sz w:val="20"/>
        </w:rPr>
        <w:br w:type="page"/>
      </w:r>
    </w:p>
    <w:p w14:paraId="5C4164C4" w14:textId="77777777" w:rsidR="00441E76" w:rsidRPr="00BA453C" w:rsidRDefault="00941BB5" w:rsidP="00302082">
      <w:pPr>
        <w:spacing w:after="120" w:line="240" w:lineRule="auto"/>
        <w:ind w:right="260"/>
        <w:rPr>
          <w:rFonts w:ascii="Arial" w:hAnsi="Arial" w:cs="Arial"/>
          <w:b/>
          <w:sz w:val="20"/>
        </w:rPr>
      </w:pPr>
      <w:r>
        <w:rPr>
          <w:rFonts w:ascii="Arial" w:hAnsi="Arial" w:cs="Arial"/>
          <w:b/>
          <w:sz w:val="20"/>
        </w:rPr>
        <w:lastRenderedPageBreak/>
        <w:t>DIVISIONAL</w:t>
      </w:r>
      <w:r w:rsidR="00441E76" w:rsidRPr="00BA453C">
        <w:rPr>
          <w:rFonts w:ascii="Arial" w:hAnsi="Arial" w:cs="Arial"/>
          <w:b/>
          <w:sz w:val="20"/>
        </w:rPr>
        <w:t xml:space="preserve"> USE ONLY</w:t>
      </w:r>
      <w:r w:rsidR="00C612A8" w:rsidRPr="00BA453C">
        <w:rPr>
          <w:rFonts w:ascii="Arial" w:hAnsi="Arial" w:cs="Arial"/>
          <w:b/>
          <w:sz w:val="20"/>
        </w:rPr>
        <w:t xml:space="preserve"> </w:t>
      </w:r>
    </w:p>
    <w:p w14:paraId="53C39C54" w14:textId="77777777" w:rsidR="00D83563" w:rsidRPr="00BA453C" w:rsidRDefault="00D83563" w:rsidP="00302082">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1251164A" w14:textId="77777777" w:rsidR="00422B69" w:rsidRPr="00302082" w:rsidRDefault="00422B69" w:rsidP="00302082">
      <w:pPr>
        <w:spacing w:after="120" w:line="240" w:lineRule="auto"/>
        <w:ind w:right="-330"/>
        <w:rPr>
          <w:rFonts w:ascii="Arial" w:hAnsi="Arial" w:cs="Arial"/>
          <w:b/>
        </w:rPr>
      </w:pPr>
    </w:p>
    <w:tbl>
      <w:tblPr>
        <w:tblStyle w:val="TableGrid"/>
        <w:tblW w:w="10485" w:type="dxa"/>
        <w:tblLook w:val="04A0" w:firstRow="1" w:lastRow="0" w:firstColumn="1" w:lastColumn="0" w:noHBand="0" w:noVBand="1"/>
      </w:tblPr>
      <w:tblGrid>
        <w:gridCol w:w="1526"/>
        <w:gridCol w:w="1701"/>
        <w:gridCol w:w="1871"/>
        <w:gridCol w:w="2552"/>
        <w:gridCol w:w="2835"/>
      </w:tblGrid>
      <w:tr w:rsidR="00302082" w:rsidRPr="00BA453C" w14:paraId="2A7EF09F" w14:textId="77777777" w:rsidTr="00941BB5">
        <w:trPr>
          <w:trHeight w:val="317"/>
        </w:trPr>
        <w:tc>
          <w:tcPr>
            <w:tcW w:w="1526" w:type="dxa"/>
          </w:tcPr>
          <w:p w14:paraId="4BD0CB35" w14:textId="77777777" w:rsidR="00422B69" w:rsidRPr="00BA453C" w:rsidRDefault="00422B69" w:rsidP="00302082">
            <w:pPr>
              <w:spacing w:after="120"/>
              <w:ind w:right="-330"/>
              <w:rPr>
                <w:rFonts w:ascii="Arial" w:hAnsi="Arial" w:cs="Arial"/>
                <w:sz w:val="18"/>
              </w:rPr>
            </w:pPr>
            <w:r w:rsidRPr="00BA453C">
              <w:rPr>
                <w:rFonts w:ascii="Arial" w:hAnsi="Arial" w:cs="Arial"/>
                <w:sz w:val="18"/>
              </w:rPr>
              <w:t>Date approved</w:t>
            </w:r>
          </w:p>
        </w:tc>
        <w:tc>
          <w:tcPr>
            <w:tcW w:w="1701" w:type="dxa"/>
          </w:tcPr>
          <w:p w14:paraId="24107E2E" w14:textId="77777777" w:rsidR="00422B69" w:rsidRPr="00BA453C" w:rsidRDefault="00422B69" w:rsidP="00302082">
            <w:pPr>
              <w:spacing w:after="120"/>
              <w:rPr>
                <w:rFonts w:ascii="Arial" w:hAnsi="Arial" w:cs="Arial"/>
                <w:sz w:val="18"/>
              </w:rPr>
            </w:pPr>
            <w:r w:rsidRPr="00BA453C">
              <w:rPr>
                <w:rFonts w:ascii="Arial" w:hAnsi="Arial" w:cs="Arial"/>
                <w:sz w:val="18"/>
              </w:rPr>
              <w:t>Major/minor revision</w:t>
            </w:r>
          </w:p>
        </w:tc>
        <w:tc>
          <w:tcPr>
            <w:tcW w:w="1871" w:type="dxa"/>
          </w:tcPr>
          <w:p w14:paraId="27C580F5" w14:textId="77777777" w:rsidR="00422B69" w:rsidRPr="00BA453C" w:rsidRDefault="00422B69" w:rsidP="00710647">
            <w:pPr>
              <w:spacing w:after="120"/>
              <w:ind w:right="-34"/>
              <w:rPr>
                <w:rFonts w:ascii="Arial" w:hAnsi="Arial" w:cs="Arial"/>
                <w:sz w:val="18"/>
              </w:rPr>
            </w:pPr>
            <w:r w:rsidRPr="00BA453C">
              <w:rPr>
                <w:rFonts w:ascii="Arial" w:hAnsi="Arial" w:cs="Arial"/>
                <w:sz w:val="18"/>
              </w:rPr>
              <w:t>Start date of</w:t>
            </w:r>
            <w:r w:rsidR="00710647">
              <w:rPr>
                <w:rFonts w:ascii="Arial" w:hAnsi="Arial" w:cs="Arial"/>
                <w:sz w:val="18"/>
              </w:rPr>
              <w:t xml:space="preserve"> delivery of </w:t>
            </w:r>
            <w:r w:rsidRPr="00BA453C">
              <w:rPr>
                <w:rFonts w:ascii="Arial" w:hAnsi="Arial" w:cs="Arial"/>
                <w:sz w:val="18"/>
              </w:rPr>
              <w:t>revised version</w:t>
            </w:r>
          </w:p>
        </w:tc>
        <w:tc>
          <w:tcPr>
            <w:tcW w:w="2552" w:type="dxa"/>
          </w:tcPr>
          <w:p w14:paraId="5EF0ED1A" w14:textId="77777777" w:rsidR="00422B69" w:rsidRPr="00BA453C" w:rsidRDefault="00422B69" w:rsidP="00302082">
            <w:pPr>
              <w:spacing w:after="120"/>
              <w:ind w:right="-330"/>
              <w:rPr>
                <w:rFonts w:ascii="Arial" w:hAnsi="Arial" w:cs="Arial"/>
                <w:sz w:val="18"/>
              </w:rPr>
            </w:pPr>
            <w:r w:rsidRPr="00BA453C">
              <w:rPr>
                <w:rFonts w:ascii="Arial" w:hAnsi="Arial" w:cs="Arial"/>
                <w:sz w:val="18"/>
              </w:rPr>
              <w:t>Section revised</w:t>
            </w:r>
          </w:p>
        </w:tc>
        <w:tc>
          <w:tcPr>
            <w:tcW w:w="2835" w:type="dxa"/>
          </w:tcPr>
          <w:p w14:paraId="5BC4DDD4" w14:textId="77777777" w:rsidR="00422B69" w:rsidRPr="00BA453C" w:rsidRDefault="00422B69" w:rsidP="00941BB5">
            <w:pPr>
              <w:spacing w:after="120"/>
              <w:ind w:right="33"/>
              <w:rPr>
                <w:rFonts w:ascii="Arial" w:hAnsi="Arial" w:cs="Arial"/>
                <w:sz w:val="18"/>
              </w:rPr>
            </w:pPr>
            <w:r w:rsidRPr="00BA453C">
              <w:rPr>
                <w:rFonts w:ascii="Arial" w:hAnsi="Arial" w:cs="Arial"/>
                <w:sz w:val="18"/>
              </w:rPr>
              <w:t>Impacts PLOs</w:t>
            </w:r>
            <w:r w:rsidR="00694309">
              <w:rPr>
                <w:rFonts w:ascii="Arial" w:hAnsi="Arial" w:cs="Arial"/>
                <w:sz w:val="18"/>
              </w:rPr>
              <w:t xml:space="preserve"> (</w:t>
            </w:r>
            <w:r w:rsidR="001A425B" w:rsidRPr="00BA453C">
              <w:rPr>
                <w:rFonts w:ascii="Arial" w:hAnsi="Arial" w:cs="Arial"/>
                <w:sz w:val="18"/>
              </w:rPr>
              <w:t>Q6&amp;7 cover sheet)</w:t>
            </w:r>
          </w:p>
        </w:tc>
      </w:tr>
      <w:tr w:rsidR="000356CF" w:rsidRPr="00302082" w14:paraId="27DC6EB5" w14:textId="77777777" w:rsidTr="00941BB5">
        <w:trPr>
          <w:trHeight w:val="305"/>
        </w:trPr>
        <w:tc>
          <w:tcPr>
            <w:tcW w:w="1526" w:type="dxa"/>
          </w:tcPr>
          <w:p w14:paraId="62E1DF19" w14:textId="03C1731C" w:rsidR="000356CF" w:rsidRPr="00302082" w:rsidRDefault="000356CF" w:rsidP="000356CF">
            <w:pPr>
              <w:spacing w:after="120"/>
              <w:ind w:right="-330"/>
              <w:rPr>
                <w:rFonts w:ascii="Arial" w:hAnsi="Arial" w:cs="Arial"/>
              </w:rPr>
            </w:pPr>
            <w:r>
              <w:rPr>
                <w:rFonts w:ascii="Arial" w:hAnsi="Arial" w:cs="Arial"/>
              </w:rPr>
              <w:t>EPA</w:t>
            </w:r>
          </w:p>
        </w:tc>
        <w:tc>
          <w:tcPr>
            <w:tcW w:w="1701" w:type="dxa"/>
          </w:tcPr>
          <w:p w14:paraId="0E38AC09" w14:textId="44D407B5" w:rsidR="000356CF" w:rsidRPr="00302082" w:rsidRDefault="000356CF" w:rsidP="000356CF">
            <w:pPr>
              <w:spacing w:after="120"/>
              <w:ind w:right="-330"/>
              <w:rPr>
                <w:rFonts w:ascii="Arial" w:hAnsi="Arial" w:cs="Arial"/>
              </w:rPr>
            </w:pPr>
            <w:r>
              <w:rPr>
                <w:rFonts w:ascii="Arial" w:hAnsi="Arial" w:cs="Arial"/>
              </w:rPr>
              <w:t>Major</w:t>
            </w:r>
          </w:p>
        </w:tc>
        <w:tc>
          <w:tcPr>
            <w:tcW w:w="1871" w:type="dxa"/>
          </w:tcPr>
          <w:p w14:paraId="2F2C829A" w14:textId="18EB300F" w:rsidR="000356CF" w:rsidRPr="00302082" w:rsidRDefault="000356CF" w:rsidP="000356CF">
            <w:pPr>
              <w:spacing w:after="120"/>
              <w:ind w:right="-330"/>
              <w:rPr>
                <w:rFonts w:ascii="Arial" w:hAnsi="Arial" w:cs="Arial"/>
              </w:rPr>
            </w:pPr>
            <w:r>
              <w:rPr>
                <w:rFonts w:ascii="Arial" w:hAnsi="Arial" w:cs="Arial"/>
              </w:rPr>
              <w:t>September 2021</w:t>
            </w:r>
          </w:p>
        </w:tc>
        <w:tc>
          <w:tcPr>
            <w:tcW w:w="2552" w:type="dxa"/>
          </w:tcPr>
          <w:p w14:paraId="599B23A9" w14:textId="119F7057" w:rsidR="000356CF" w:rsidRPr="00302082" w:rsidRDefault="000356CF" w:rsidP="000356CF">
            <w:pPr>
              <w:spacing w:after="120"/>
              <w:ind w:right="-330"/>
              <w:rPr>
                <w:rFonts w:ascii="Arial" w:hAnsi="Arial" w:cs="Arial"/>
              </w:rPr>
            </w:pPr>
            <w:r>
              <w:rPr>
                <w:rFonts w:ascii="Arial" w:hAnsi="Arial" w:cs="Arial"/>
              </w:rPr>
              <w:t>9,13,14</w:t>
            </w:r>
          </w:p>
        </w:tc>
        <w:tc>
          <w:tcPr>
            <w:tcW w:w="2835" w:type="dxa"/>
          </w:tcPr>
          <w:p w14:paraId="2FB402CE" w14:textId="2DBFB180" w:rsidR="000356CF" w:rsidRPr="00302082" w:rsidRDefault="000356CF" w:rsidP="000356CF">
            <w:pPr>
              <w:spacing w:after="120"/>
              <w:ind w:right="-330"/>
              <w:rPr>
                <w:rFonts w:ascii="Arial" w:hAnsi="Arial" w:cs="Arial"/>
              </w:rPr>
            </w:pPr>
            <w:r>
              <w:rPr>
                <w:rFonts w:ascii="Arial" w:hAnsi="Arial" w:cs="Arial"/>
              </w:rPr>
              <w:t>No</w:t>
            </w:r>
          </w:p>
        </w:tc>
      </w:tr>
      <w:tr w:rsidR="000356CF" w:rsidRPr="00302082" w14:paraId="10626CD9" w14:textId="77777777" w:rsidTr="00941BB5">
        <w:trPr>
          <w:trHeight w:val="305"/>
        </w:trPr>
        <w:tc>
          <w:tcPr>
            <w:tcW w:w="1526" w:type="dxa"/>
          </w:tcPr>
          <w:p w14:paraId="4E8FCF60" w14:textId="77777777" w:rsidR="000356CF" w:rsidRPr="00302082" w:rsidRDefault="000356CF" w:rsidP="000356CF">
            <w:pPr>
              <w:spacing w:after="120"/>
              <w:ind w:right="-330"/>
              <w:rPr>
                <w:rFonts w:ascii="Arial" w:hAnsi="Arial" w:cs="Arial"/>
              </w:rPr>
            </w:pPr>
          </w:p>
        </w:tc>
        <w:tc>
          <w:tcPr>
            <w:tcW w:w="1701" w:type="dxa"/>
          </w:tcPr>
          <w:p w14:paraId="7E13637F" w14:textId="77777777" w:rsidR="000356CF" w:rsidRPr="00302082" w:rsidRDefault="000356CF" w:rsidP="000356CF">
            <w:pPr>
              <w:spacing w:after="120"/>
              <w:ind w:right="-330"/>
              <w:rPr>
                <w:rFonts w:ascii="Arial" w:hAnsi="Arial" w:cs="Arial"/>
              </w:rPr>
            </w:pPr>
          </w:p>
        </w:tc>
        <w:tc>
          <w:tcPr>
            <w:tcW w:w="1871" w:type="dxa"/>
          </w:tcPr>
          <w:p w14:paraId="48DD063B" w14:textId="77777777" w:rsidR="000356CF" w:rsidRPr="00302082" w:rsidRDefault="000356CF" w:rsidP="000356CF">
            <w:pPr>
              <w:spacing w:after="120"/>
              <w:ind w:right="-330"/>
              <w:rPr>
                <w:rFonts w:ascii="Arial" w:hAnsi="Arial" w:cs="Arial"/>
              </w:rPr>
            </w:pPr>
          </w:p>
        </w:tc>
        <w:tc>
          <w:tcPr>
            <w:tcW w:w="2552" w:type="dxa"/>
          </w:tcPr>
          <w:p w14:paraId="6244F274" w14:textId="77777777" w:rsidR="000356CF" w:rsidRPr="00302082" w:rsidRDefault="000356CF" w:rsidP="000356CF">
            <w:pPr>
              <w:spacing w:after="120"/>
              <w:ind w:right="-330"/>
              <w:rPr>
                <w:rFonts w:ascii="Arial" w:hAnsi="Arial" w:cs="Arial"/>
              </w:rPr>
            </w:pPr>
          </w:p>
        </w:tc>
        <w:tc>
          <w:tcPr>
            <w:tcW w:w="2835" w:type="dxa"/>
          </w:tcPr>
          <w:p w14:paraId="0A1630FF" w14:textId="77777777" w:rsidR="000356CF" w:rsidRPr="00302082" w:rsidRDefault="000356CF" w:rsidP="000356CF">
            <w:pPr>
              <w:spacing w:after="120"/>
              <w:ind w:right="-330"/>
              <w:rPr>
                <w:rFonts w:ascii="Arial" w:hAnsi="Arial" w:cs="Arial"/>
              </w:rPr>
            </w:pPr>
          </w:p>
        </w:tc>
      </w:tr>
    </w:tbl>
    <w:p w14:paraId="2AF67BE1" w14:textId="77777777" w:rsidR="00D83563" w:rsidRPr="00302082" w:rsidRDefault="00D83563" w:rsidP="00302082">
      <w:pPr>
        <w:spacing w:after="120" w:line="240" w:lineRule="auto"/>
        <w:ind w:right="-330"/>
        <w:rPr>
          <w:rFonts w:ascii="Arial" w:hAnsi="Arial" w:cs="Arial"/>
        </w:rPr>
      </w:pPr>
    </w:p>
    <w:sectPr w:rsidR="00D83563" w:rsidRPr="00302082" w:rsidSect="005219EF">
      <w:headerReference w:type="default" r:id="rId11"/>
      <w:footerReference w:type="default" r:id="rId12"/>
      <w:head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B201" w14:textId="77777777" w:rsidR="002213CB" w:rsidRDefault="002213CB" w:rsidP="009A2D37">
      <w:pPr>
        <w:spacing w:after="0" w:line="240" w:lineRule="auto"/>
      </w:pPr>
      <w:r>
        <w:separator/>
      </w:r>
    </w:p>
  </w:endnote>
  <w:endnote w:type="continuationSeparator" w:id="0">
    <w:p w14:paraId="06B9076F" w14:textId="77777777" w:rsidR="002213CB" w:rsidRDefault="002213CB" w:rsidP="009A2D37">
      <w:pPr>
        <w:spacing w:after="0" w:line="240" w:lineRule="auto"/>
      </w:pPr>
      <w:r>
        <w:continuationSeparator/>
      </w:r>
    </w:p>
  </w:endnote>
  <w:endnote w:type="continuationNotice" w:id="1">
    <w:p w14:paraId="69814588" w14:textId="77777777" w:rsidR="002213CB" w:rsidRDefault="00221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rPr>
        <w:sz w:val="18"/>
      </w:rPr>
    </w:sdtEndPr>
    <w:sdtContent>
      <w:p w14:paraId="452B2BC5" w14:textId="77777777" w:rsidR="005219EF" w:rsidRDefault="005219EF" w:rsidP="009A2D37">
        <w:pPr>
          <w:pStyle w:val="Footer"/>
          <w:jc w:val="center"/>
        </w:pPr>
      </w:p>
      <w:p w14:paraId="243AEF32" w14:textId="3F7CA655" w:rsidR="008B2543" w:rsidRPr="005219EF" w:rsidRDefault="0019787E" w:rsidP="009A2D37">
        <w:pPr>
          <w:pStyle w:val="Footer"/>
          <w:jc w:val="center"/>
          <w:rPr>
            <w:sz w:val="18"/>
          </w:rPr>
        </w:pPr>
        <w:r w:rsidRPr="005219EF">
          <w:rPr>
            <w:sz w:val="18"/>
          </w:rPr>
          <w:fldChar w:fldCharType="begin"/>
        </w:r>
        <w:r w:rsidRPr="005219EF">
          <w:rPr>
            <w:sz w:val="18"/>
          </w:rPr>
          <w:instrText xml:space="preserve"> PAGE   \* MERGEFORMAT </w:instrText>
        </w:r>
        <w:r w:rsidRPr="005219EF">
          <w:rPr>
            <w:sz w:val="18"/>
          </w:rPr>
          <w:fldChar w:fldCharType="separate"/>
        </w:r>
        <w:r w:rsidR="00813E14">
          <w:rPr>
            <w:noProof/>
            <w:sz w:val="18"/>
          </w:rPr>
          <w:t>4</w:t>
        </w:r>
        <w:r w:rsidRPr="005219EF">
          <w:rPr>
            <w:noProof/>
            <w:sz w:val="18"/>
          </w:rPr>
          <w:fldChar w:fldCharType="end"/>
        </w:r>
      </w:p>
    </w:sdtContent>
  </w:sdt>
  <w:p w14:paraId="03F727B6" w14:textId="77777777" w:rsidR="008B2543" w:rsidRPr="007B7724" w:rsidRDefault="005219EF" w:rsidP="005219EF">
    <w:pPr>
      <w:pStyle w:val="Footer"/>
      <w:spacing w:after="120"/>
      <w:ind w:right="-330"/>
      <w:jc w:val="center"/>
      <w:rPr>
        <w:rFonts w:ascii="Arial" w:hAnsi="Arial"/>
        <w:sz w:val="18"/>
      </w:rPr>
    </w:pPr>
    <w:r w:rsidRPr="005219EF">
      <w:rPr>
        <w:rFonts w:ascii="Arial" w:hAnsi="Arial"/>
        <w:sz w:val="18"/>
      </w:rPr>
      <w:t>JOUR6040 (JN604) British Public Affairs</w:t>
    </w:r>
    <w:r>
      <w:rPr>
        <w:rFonts w:ascii="Arial" w:hAnsi="Arial"/>
        <w:sz w:val="18"/>
      </w:rPr>
      <w:t xml:space="preserve"> – Sept. 2021 onwards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A3BA" w14:textId="77777777" w:rsidR="002213CB" w:rsidRDefault="002213CB" w:rsidP="009A2D37">
      <w:pPr>
        <w:spacing w:after="0" w:line="240" w:lineRule="auto"/>
      </w:pPr>
      <w:r>
        <w:separator/>
      </w:r>
    </w:p>
  </w:footnote>
  <w:footnote w:type="continuationSeparator" w:id="0">
    <w:p w14:paraId="2507933B" w14:textId="77777777" w:rsidR="002213CB" w:rsidRDefault="002213CB" w:rsidP="009A2D37">
      <w:pPr>
        <w:spacing w:after="0" w:line="240" w:lineRule="auto"/>
      </w:pPr>
      <w:r>
        <w:continuationSeparator/>
      </w:r>
    </w:p>
  </w:footnote>
  <w:footnote w:type="continuationNotice" w:id="1">
    <w:p w14:paraId="7E0091E8" w14:textId="77777777" w:rsidR="002213CB" w:rsidRDefault="002213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E498"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3AE530DF" wp14:editId="0590A92A">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5B31512A" w14:textId="77777777" w:rsidR="008B2543" w:rsidRPr="008C00F8" w:rsidRDefault="008B2543" w:rsidP="005E6D38">
    <w:pPr>
      <w:pStyle w:val="Heading1"/>
      <w:spacing w:before="60" w:after="60"/>
      <w:rPr>
        <w:rFonts w:ascii="Arial" w:hAnsi="Arial" w:cs="Arial"/>
      </w:rPr>
    </w:pPr>
  </w:p>
  <w:p w14:paraId="0E03B012"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DA79"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19B6750B" wp14:editId="07B4F719">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704F11B2"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9873650"/>
    <w:multiLevelType w:val="hybridMultilevel"/>
    <w:tmpl w:val="EEC470DC"/>
    <w:lvl w:ilvl="0" w:tplc="A85665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F107DCE"/>
    <w:multiLevelType w:val="hybridMultilevel"/>
    <w:tmpl w:val="83E8F346"/>
    <w:lvl w:ilvl="0" w:tplc="6F10443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9"/>
  </w:num>
  <w:num w:numId="6">
    <w:abstractNumId w:val="7"/>
  </w:num>
  <w:num w:numId="7">
    <w:abstractNumId w:val="10"/>
  </w:num>
  <w:num w:numId="8">
    <w:abstractNumId w:val="8"/>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8EC"/>
    <w:rsid w:val="00000C8C"/>
    <w:rsid w:val="000017F2"/>
    <w:rsid w:val="00005661"/>
    <w:rsid w:val="00010A16"/>
    <w:rsid w:val="0001243F"/>
    <w:rsid w:val="00021EA0"/>
    <w:rsid w:val="00025992"/>
    <w:rsid w:val="00027937"/>
    <w:rsid w:val="00030C9E"/>
    <w:rsid w:val="00031E67"/>
    <w:rsid w:val="00032C85"/>
    <w:rsid w:val="000356CF"/>
    <w:rsid w:val="000408CC"/>
    <w:rsid w:val="00045373"/>
    <w:rsid w:val="00063A2F"/>
    <w:rsid w:val="000646BF"/>
    <w:rsid w:val="000678D3"/>
    <w:rsid w:val="00094810"/>
    <w:rsid w:val="00096DA4"/>
    <w:rsid w:val="000C0294"/>
    <w:rsid w:val="000C0F2E"/>
    <w:rsid w:val="000C3A7E"/>
    <w:rsid w:val="000C7A1C"/>
    <w:rsid w:val="000D2A8A"/>
    <w:rsid w:val="000D32AC"/>
    <w:rsid w:val="000E20C1"/>
    <w:rsid w:val="000E3B73"/>
    <w:rsid w:val="000F6C56"/>
    <w:rsid w:val="000F7FBF"/>
    <w:rsid w:val="00106BE5"/>
    <w:rsid w:val="0010753E"/>
    <w:rsid w:val="00110947"/>
    <w:rsid w:val="00111906"/>
    <w:rsid w:val="00111CB3"/>
    <w:rsid w:val="00117577"/>
    <w:rsid w:val="00117793"/>
    <w:rsid w:val="001206E4"/>
    <w:rsid w:val="001214D3"/>
    <w:rsid w:val="00121BFC"/>
    <w:rsid w:val="001402AD"/>
    <w:rsid w:val="00145BCB"/>
    <w:rsid w:val="001540CE"/>
    <w:rsid w:val="0015717B"/>
    <w:rsid w:val="00157ACA"/>
    <w:rsid w:val="00160427"/>
    <w:rsid w:val="00162D46"/>
    <w:rsid w:val="00172793"/>
    <w:rsid w:val="00180558"/>
    <w:rsid w:val="001811E5"/>
    <w:rsid w:val="00183B34"/>
    <w:rsid w:val="00185F46"/>
    <w:rsid w:val="00196C6A"/>
    <w:rsid w:val="0019787E"/>
    <w:rsid w:val="001A425B"/>
    <w:rsid w:val="001A7762"/>
    <w:rsid w:val="001B1B28"/>
    <w:rsid w:val="001B27FB"/>
    <w:rsid w:val="001C1787"/>
    <w:rsid w:val="001C4A85"/>
    <w:rsid w:val="001C5443"/>
    <w:rsid w:val="001D0C7D"/>
    <w:rsid w:val="001D1F2D"/>
    <w:rsid w:val="001D2314"/>
    <w:rsid w:val="001D6398"/>
    <w:rsid w:val="001E1F45"/>
    <w:rsid w:val="001E62C1"/>
    <w:rsid w:val="001E6F04"/>
    <w:rsid w:val="001F0779"/>
    <w:rsid w:val="001F3C3E"/>
    <w:rsid w:val="00201C5F"/>
    <w:rsid w:val="0020243A"/>
    <w:rsid w:val="00204081"/>
    <w:rsid w:val="0021578E"/>
    <w:rsid w:val="002213CB"/>
    <w:rsid w:val="00227582"/>
    <w:rsid w:val="002302FD"/>
    <w:rsid w:val="002308BE"/>
    <w:rsid w:val="002407C0"/>
    <w:rsid w:val="002461AF"/>
    <w:rsid w:val="002465A1"/>
    <w:rsid w:val="00264576"/>
    <w:rsid w:val="0026585A"/>
    <w:rsid w:val="00266735"/>
    <w:rsid w:val="00273CF0"/>
    <w:rsid w:val="002748D4"/>
    <w:rsid w:val="00274ED7"/>
    <w:rsid w:val="002837A4"/>
    <w:rsid w:val="0028461D"/>
    <w:rsid w:val="0028590C"/>
    <w:rsid w:val="00292C46"/>
    <w:rsid w:val="002938D6"/>
    <w:rsid w:val="00294B73"/>
    <w:rsid w:val="002A0C18"/>
    <w:rsid w:val="002A219B"/>
    <w:rsid w:val="002A22DB"/>
    <w:rsid w:val="002A7CA1"/>
    <w:rsid w:val="002B20F5"/>
    <w:rsid w:val="002B2A1A"/>
    <w:rsid w:val="002B6775"/>
    <w:rsid w:val="002B71F2"/>
    <w:rsid w:val="002E71C0"/>
    <w:rsid w:val="002F05F4"/>
    <w:rsid w:val="002F0CE4"/>
    <w:rsid w:val="002F23EF"/>
    <w:rsid w:val="002F2626"/>
    <w:rsid w:val="00302082"/>
    <w:rsid w:val="00306620"/>
    <w:rsid w:val="003262B9"/>
    <w:rsid w:val="00333143"/>
    <w:rsid w:val="00334A02"/>
    <w:rsid w:val="00335875"/>
    <w:rsid w:val="00335FBE"/>
    <w:rsid w:val="00351D4F"/>
    <w:rsid w:val="00352D8E"/>
    <w:rsid w:val="00356B68"/>
    <w:rsid w:val="0035702D"/>
    <w:rsid w:val="003604D4"/>
    <w:rsid w:val="003627B0"/>
    <w:rsid w:val="00374DF6"/>
    <w:rsid w:val="003759B0"/>
    <w:rsid w:val="00375F84"/>
    <w:rsid w:val="00375FB1"/>
    <w:rsid w:val="00376E34"/>
    <w:rsid w:val="003804E7"/>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402ED7"/>
    <w:rsid w:val="004114F8"/>
    <w:rsid w:val="00422B69"/>
    <w:rsid w:val="00423D86"/>
    <w:rsid w:val="00424C90"/>
    <w:rsid w:val="00436BE9"/>
    <w:rsid w:val="00441E76"/>
    <w:rsid w:val="004443DA"/>
    <w:rsid w:val="00446A75"/>
    <w:rsid w:val="004474A2"/>
    <w:rsid w:val="00460925"/>
    <w:rsid w:val="00471C6C"/>
    <w:rsid w:val="00472023"/>
    <w:rsid w:val="004733D2"/>
    <w:rsid w:val="00486993"/>
    <w:rsid w:val="00492DA4"/>
    <w:rsid w:val="00496AA3"/>
    <w:rsid w:val="00497C98"/>
    <w:rsid w:val="004A39D7"/>
    <w:rsid w:val="004A55FA"/>
    <w:rsid w:val="004A632D"/>
    <w:rsid w:val="004B5D03"/>
    <w:rsid w:val="004C1EC4"/>
    <w:rsid w:val="004D035C"/>
    <w:rsid w:val="004D7476"/>
    <w:rsid w:val="004F3C18"/>
    <w:rsid w:val="004F4328"/>
    <w:rsid w:val="005005E4"/>
    <w:rsid w:val="00513689"/>
    <w:rsid w:val="0051375A"/>
    <w:rsid w:val="00520D29"/>
    <w:rsid w:val="00521097"/>
    <w:rsid w:val="005219EF"/>
    <w:rsid w:val="0053059E"/>
    <w:rsid w:val="00532F6F"/>
    <w:rsid w:val="00533663"/>
    <w:rsid w:val="00537974"/>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44B4"/>
    <w:rsid w:val="0059477B"/>
    <w:rsid w:val="00596884"/>
    <w:rsid w:val="005A14B5"/>
    <w:rsid w:val="005B5A98"/>
    <w:rsid w:val="005C1A4F"/>
    <w:rsid w:val="005C27D7"/>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7A50"/>
    <w:rsid w:val="00641D6D"/>
    <w:rsid w:val="0064364E"/>
    <w:rsid w:val="006438F3"/>
    <w:rsid w:val="00647907"/>
    <w:rsid w:val="00651A82"/>
    <w:rsid w:val="006525E9"/>
    <w:rsid w:val="0066747B"/>
    <w:rsid w:val="006725EC"/>
    <w:rsid w:val="00674ED0"/>
    <w:rsid w:val="00682650"/>
    <w:rsid w:val="00683609"/>
    <w:rsid w:val="00684851"/>
    <w:rsid w:val="00694309"/>
    <w:rsid w:val="00695285"/>
    <w:rsid w:val="00696FF5"/>
    <w:rsid w:val="006A6BB4"/>
    <w:rsid w:val="006A7FB0"/>
    <w:rsid w:val="006C2A9A"/>
    <w:rsid w:val="006C423D"/>
    <w:rsid w:val="006C46EF"/>
    <w:rsid w:val="006C4C67"/>
    <w:rsid w:val="006D13C0"/>
    <w:rsid w:val="006D41AB"/>
    <w:rsid w:val="006D444F"/>
    <w:rsid w:val="006E134D"/>
    <w:rsid w:val="006E4FEA"/>
    <w:rsid w:val="006F1A15"/>
    <w:rsid w:val="006F3F8B"/>
    <w:rsid w:val="00700488"/>
    <w:rsid w:val="00703404"/>
    <w:rsid w:val="00703F92"/>
    <w:rsid w:val="00704637"/>
    <w:rsid w:val="007105E4"/>
    <w:rsid w:val="00710647"/>
    <w:rsid w:val="00714EE5"/>
    <w:rsid w:val="00720270"/>
    <w:rsid w:val="00724362"/>
    <w:rsid w:val="00724904"/>
    <w:rsid w:val="00727780"/>
    <w:rsid w:val="0073792C"/>
    <w:rsid w:val="00754069"/>
    <w:rsid w:val="007634D3"/>
    <w:rsid w:val="007667DF"/>
    <w:rsid w:val="0077080B"/>
    <w:rsid w:val="00787070"/>
    <w:rsid w:val="007906FD"/>
    <w:rsid w:val="00797197"/>
    <w:rsid w:val="007972A7"/>
    <w:rsid w:val="007A2BA2"/>
    <w:rsid w:val="007A6245"/>
    <w:rsid w:val="007B1DB2"/>
    <w:rsid w:val="007B375B"/>
    <w:rsid w:val="007B412A"/>
    <w:rsid w:val="007B635E"/>
    <w:rsid w:val="007B7724"/>
    <w:rsid w:val="007B7CDC"/>
    <w:rsid w:val="007C74B4"/>
    <w:rsid w:val="007E3412"/>
    <w:rsid w:val="007F393D"/>
    <w:rsid w:val="008029AF"/>
    <w:rsid w:val="00802FFA"/>
    <w:rsid w:val="0080463A"/>
    <w:rsid w:val="008102E5"/>
    <w:rsid w:val="008111B4"/>
    <w:rsid w:val="008133F0"/>
    <w:rsid w:val="00813E14"/>
    <w:rsid w:val="00815880"/>
    <w:rsid w:val="0082322C"/>
    <w:rsid w:val="00823942"/>
    <w:rsid w:val="00827FFD"/>
    <w:rsid w:val="0083388B"/>
    <w:rsid w:val="00854535"/>
    <w:rsid w:val="00856EB3"/>
    <w:rsid w:val="00863C96"/>
    <w:rsid w:val="00864A72"/>
    <w:rsid w:val="00873E9F"/>
    <w:rsid w:val="00874047"/>
    <w:rsid w:val="008778CB"/>
    <w:rsid w:val="00881545"/>
    <w:rsid w:val="00883204"/>
    <w:rsid w:val="00883A3E"/>
    <w:rsid w:val="0089148D"/>
    <w:rsid w:val="00891E0D"/>
    <w:rsid w:val="008A0F36"/>
    <w:rsid w:val="008B2543"/>
    <w:rsid w:val="008B254C"/>
    <w:rsid w:val="008B4B6E"/>
    <w:rsid w:val="008C5853"/>
    <w:rsid w:val="008D7401"/>
    <w:rsid w:val="00903DF6"/>
    <w:rsid w:val="00921CF6"/>
    <w:rsid w:val="00922E9E"/>
    <w:rsid w:val="00924EF0"/>
    <w:rsid w:val="00934D7B"/>
    <w:rsid w:val="00941BB5"/>
    <w:rsid w:val="00947180"/>
    <w:rsid w:val="009567BE"/>
    <w:rsid w:val="009676FA"/>
    <w:rsid w:val="009679E0"/>
    <w:rsid w:val="00977632"/>
    <w:rsid w:val="00982A8E"/>
    <w:rsid w:val="00987DB4"/>
    <w:rsid w:val="0099029D"/>
    <w:rsid w:val="00996204"/>
    <w:rsid w:val="009A26CB"/>
    <w:rsid w:val="009A2BC2"/>
    <w:rsid w:val="009A2D37"/>
    <w:rsid w:val="009A7587"/>
    <w:rsid w:val="009B0A69"/>
    <w:rsid w:val="009C2474"/>
    <w:rsid w:val="009C7082"/>
    <w:rsid w:val="009D0006"/>
    <w:rsid w:val="009D068C"/>
    <w:rsid w:val="009E5D63"/>
    <w:rsid w:val="009F3A2A"/>
    <w:rsid w:val="009F731F"/>
    <w:rsid w:val="009F7D33"/>
    <w:rsid w:val="00A021FE"/>
    <w:rsid w:val="00A1270E"/>
    <w:rsid w:val="00A15342"/>
    <w:rsid w:val="00A3007E"/>
    <w:rsid w:val="00A32048"/>
    <w:rsid w:val="00A41F06"/>
    <w:rsid w:val="00A50FD4"/>
    <w:rsid w:val="00A52DB4"/>
    <w:rsid w:val="00A618E1"/>
    <w:rsid w:val="00A629B9"/>
    <w:rsid w:val="00A70C20"/>
    <w:rsid w:val="00A74292"/>
    <w:rsid w:val="00A751F7"/>
    <w:rsid w:val="00A776DE"/>
    <w:rsid w:val="00A80640"/>
    <w:rsid w:val="00A87FFD"/>
    <w:rsid w:val="00A97038"/>
    <w:rsid w:val="00A97CB8"/>
    <w:rsid w:val="00AA3C15"/>
    <w:rsid w:val="00AA6330"/>
    <w:rsid w:val="00AC7501"/>
    <w:rsid w:val="00AD748B"/>
    <w:rsid w:val="00AE1520"/>
    <w:rsid w:val="00AE4865"/>
    <w:rsid w:val="00AF50EE"/>
    <w:rsid w:val="00B0591D"/>
    <w:rsid w:val="00B13402"/>
    <w:rsid w:val="00B14BC2"/>
    <w:rsid w:val="00B17024"/>
    <w:rsid w:val="00B17CD2"/>
    <w:rsid w:val="00B213D2"/>
    <w:rsid w:val="00B248BA"/>
    <w:rsid w:val="00B24B56"/>
    <w:rsid w:val="00B30E07"/>
    <w:rsid w:val="00B34ADD"/>
    <w:rsid w:val="00B52FF5"/>
    <w:rsid w:val="00B5498B"/>
    <w:rsid w:val="00B57219"/>
    <w:rsid w:val="00B658A3"/>
    <w:rsid w:val="00B65AAD"/>
    <w:rsid w:val="00B72470"/>
    <w:rsid w:val="00B746A8"/>
    <w:rsid w:val="00B7664D"/>
    <w:rsid w:val="00B80989"/>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3B17"/>
    <w:rsid w:val="00BF51AB"/>
    <w:rsid w:val="00BF716B"/>
    <w:rsid w:val="00BF7233"/>
    <w:rsid w:val="00C02AA2"/>
    <w:rsid w:val="00C04C95"/>
    <w:rsid w:val="00C12613"/>
    <w:rsid w:val="00C16DEF"/>
    <w:rsid w:val="00C203CB"/>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A3254"/>
    <w:rsid w:val="00CB11CE"/>
    <w:rsid w:val="00CC25A2"/>
    <w:rsid w:val="00CD7F07"/>
    <w:rsid w:val="00CE04F3"/>
    <w:rsid w:val="00CE12D8"/>
    <w:rsid w:val="00CE4574"/>
    <w:rsid w:val="00CE70E6"/>
    <w:rsid w:val="00CF0BCA"/>
    <w:rsid w:val="00CF2E1E"/>
    <w:rsid w:val="00D02E99"/>
    <w:rsid w:val="00D13357"/>
    <w:rsid w:val="00D13A13"/>
    <w:rsid w:val="00D2689A"/>
    <w:rsid w:val="00D4585E"/>
    <w:rsid w:val="00D65506"/>
    <w:rsid w:val="00D773CF"/>
    <w:rsid w:val="00D83563"/>
    <w:rsid w:val="00D8448F"/>
    <w:rsid w:val="00DA64B6"/>
    <w:rsid w:val="00DB5C9D"/>
    <w:rsid w:val="00DD02E6"/>
    <w:rsid w:val="00DF665B"/>
    <w:rsid w:val="00E0152A"/>
    <w:rsid w:val="00E03394"/>
    <w:rsid w:val="00E066E5"/>
    <w:rsid w:val="00E22F03"/>
    <w:rsid w:val="00E233C1"/>
    <w:rsid w:val="00E51404"/>
    <w:rsid w:val="00E574C9"/>
    <w:rsid w:val="00E610DE"/>
    <w:rsid w:val="00E66167"/>
    <w:rsid w:val="00E71F2F"/>
    <w:rsid w:val="00E77786"/>
    <w:rsid w:val="00E806FB"/>
    <w:rsid w:val="00EB1C2D"/>
    <w:rsid w:val="00EC1810"/>
    <w:rsid w:val="00EC3FCC"/>
    <w:rsid w:val="00ED32FF"/>
    <w:rsid w:val="00EF039B"/>
    <w:rsid w:val="00EF4933"/>
    <w:rsid w:val="00EF5044"/>
    <w:rsid w:val="00EF5FD8"/>
    <w:rsid w:val="00F01956"/>
    <w:rsid w:val="00F116CE"/>
    <w:rsid w:val="00F16F93"/>
    <w:rsid w:val="00F176DE"/>
    <w:rsid w:val="00F21C47"/>
    <w:rsid w:val="00F244E2"/>
    <w:rsid w:val="00F317D7"/>
    <w:rsid w:val="00F340DE"/>
    <w:rsid w:val="00F43542"/>
    <w:rsid w:val="00F44BAB"/>
    <w:rsid w:val="00F454E2"/>
    <w:rsid w:val="00F527CB"/>
    <w:rsid w:val="00F53879"/>
    <w:rsid w:val="00F562AA"/>
    <w:rsid w:val="00F66975"/>
    <w:rsid w:val="00F7105A"/>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60B"/>
    <w:rsid w:val="00FE4856"/>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78343A"/>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paragraph" w:styleId="Revision">
    <w:name w:val="Revision"/>
    <w:hidden/>
    <w:uiPriority w:val="99"/>
    <w:semiHidden/>
    <w:rsid w:val="000356CF"/>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DA62A-9F4D-48A8-A8BF-B07A124076C9}">
  <ds:schemaRefs>
    <ds:schemaRef ds:uri="http://schemas.microsoft.com/sharepoint/v3/contenttype/forms"/>
  </ds:schemaRefs>
</ds:datastoreItem>
</file>

<file path=customXml/itemProps2.xml><?xml version="1.0" encoding="utf-8"?>
<ds:datastoreItem xmlns:ds="http://schemas.openxmlformats.org/officeDocument/2006/customXml" ds:itemID="{155650CB-D9BC-4D49-8474-DD200AB8FBC1}"/>
</file>

<file path=customXml/itemProps3.xml><?xml version="1.0" encoding="utf-8"?>
<ds:datastoreItem xmlns:ds="http://schemas.openxmlformats.org/officeDocument/2006/customXml" ds:itemID="{5D7D6A1D-3F17-4530-BD63-3ED730E6AD33}">
  <ds:schemaRefs>
    <ds:schemaRef ds:uri="http://schemas.openxmlformats.org/officeDocument/2006/bibliography"/>
  </ds:schemaRefs>
</ds:datastoreItem>
</file>

<file path=customXml/itemProps4.xml><?xml version="1.0" encoding="utf-8"?>
<ds:datastoreItem xmlns:ds="http://schemas.openxmlformats.org/officeDocument/2006/customXml" ds:itemID="{C8B49554-6CAB-4DC5-A58F-229FCB6B5B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Ben Singh Nightingale</cp:lastModifiedBy>
  <cp:revision>6</cp:revision>
  <cp:lastPrinted>2015-09-09T08:37:00Z</cp:lastPrinted>
  <dcterms:created xsi:type="dcterms:W3CDTF">2021-04-22T19:16:00Z</dcterms:created>
  <dcterms:modified xsi:type="dcterms:W3CDTF">2022-03-17T13:29:00Z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