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66796" w14:textId="77777777" w:rsidR="009A2D37" w:rsidRPr="00302082" w:rsidRDefault="009A2D37" w:rsidP="00696FF5">
      <w:pPr>
        <w:numPr>
          <w:ilvl w:val="0"/>
          <w:numId w:val="1"/>
        </w:numPr>
        <w:spacing w:after="120" w:line="240" w:lineRule="auto"/>
        <w:ind w:left="567" w:right="260" w:hanging="567"/>
        <w:jc w:val="both"/>
        <w:rPr>
          <w:rFonts w:ascii="Arial" w:hAnsi="Arial" w:cs="Arial"/>
          <w:b/>
        </w:rPr>
      </w:pPr>
      <w:r w:rsidRPr="00302082">
        <w:rPr>
          <w:rFonts w:ascii="Arial" w:hAnsi="Arial" w:cs="Arial"/>
          <w:b/>
        </w:rPr>
        <w:t>Title of the module</w:t>
      </w:r>
    </w:p>
    <w:p w14:paraId="50E0D73C" w14:textId="77777777" w:rsidR="009A2D37" w:rsidRDefault="00DA36FA" w:rsidP="00154D48">
      <w:pPr>
        <w:spacing w:after="120" w:line="240" w:lineRule="auto"/>
        <w:ind w:left="567" w:right="260"/>
        <w:jc w:val="both"/>
        <w:rPr>
          <w:rFonts w:ascii="Arial" w:hAnsi="Arial" w:cs="Arial"/>
        </w:rPr>
      </w:pPr>
      <w:r w:rsidRPr="00DA36FA">
        <w:rPr>
          <w:rFonts w:ascii="Arial" w:hAnsi="Arial" w:cs="Arial"/>
        </w:rPr>
        <w:t>The “Real” America: Class and Culture in the American Gilded Age</w:t>
      </w:r>
    </w:p>
    <w:p w14:paraId="5CADE872" w14:textId="77777777" w:rsidR="00154D48" w:rsidRPr="00154D48" w:rsidRDefault="00154D48" w:rsidP="00154D48">
      <w:pPr>
        <w:spacing w:after="120" w:line="240" w:lineRule="auto"/>
        <w:ind w:left="567" w:right="260"/>
        <w:jc w:val="both"/>
        <w:rPr>
          <w:rFonts w:ascii="Arial" w:hAnsi="Arial" w:cs="Arial"/>
        </w:rPr>
      </w:pPr>
      <w:bookmarkStart w:id="0" w:name="_GoBack"/>
      <w:bookmarkEnd w:id="0"/>
    </w:p>
    <w:p w14:paraId="16BB3A7A" w14:textId="77777777" w:rsidR="009A2D37" w:rsidRPr="00302082" w:rsidRDefault="009A2D37" w:rsidP="00696FF5">
      <w:pPr>
        <w:numPr>
          <w:ilvl w:val="0"/>
          <w:numId w:val="1"/>
        </w:numPr>
        <w:spacing w:after="120" w:line="240" w:lineRule="auto"/>
        <w:ind w:left="567" w:right="260" w:hanging="567"/>
        <w:jc w:val="both"/>
        <w:rPr>
          <w:rFonts w:ascii="Arial" w:hAnsi="Arial" w:cs="Arial"/>
          <w:b/>
        </w:rPr>
      </w:pPr>
      <w:r w:rsidRPr="00302082">
        <w:rPr>
          <w:rFonts w:ascii="Arial" w:hAnsi="Arial" w:cs="Arial"/>
          <w:b/>
        </w:rPr>
        <w:t>School or partner institution which will be responsible for management of the module</w:t>
      </w:r>
    </w:p>
    <w:p w14:paraId="27BF24BA" w14:textId="77777777" w:rsidR="009A2D37" w:rsidRPr="00154D48" w:rsidRDefault="00DA36FA" w:rsidP="00154D48">
      <w:pPr>
        <w:spacing w:after="120" w:line="240" w:lineRule="auto"/>
        <w:ind w:left="567" w:right="260"/>
        <w:rPr>
          <w:rFonts w:ascii="Arial" w:hAnsi="Arial" w:cs="Arial"/>
          <w:iCs/>
        </w:rPr>
      </w:pPr>
      <w:r w:rsidRPr="00DA36FA">
        <w:rPr>
          <w:rFonts w:ascii="Arial" w:hAnsi="Arial" w:cs="Arial"/>
          <w:iCs/>
        </w:rPr>
        <w:t>School of English</w:t>
      </w:r>
    </w:p>
    <w:p w14:paraId="6AF0B535" w14:textId="77777777" w:rsidR="00154D48" w:rsidRPr="00154D48" w:rsidRDefault="00154D48" w:rsidP="00154D48">
      <w:pPr>
        <w:spacing w:after="120" w:line="240" w:lineRule="auto"/>
        <w:ind w:left="567" w:right="260"/>
        <w:rPr>
          <w:rFonts w:ascii="Arial" w:hAnsi="Arial" w:cs="Arial"/>
          <w:iCs/>
        </w:rPr>
      </w:pPr>
    </w:p>
    <w:p w14:paraId="2F649097" w14:textId="77777777" w:rsidR="009A2D37" w:rsidRPr="00302082" w:rsidRDefault="00883204" w:rsidP="00696FF5">
      <w:pPr>
        <w:numPr>
          <w:ilvl w:val="0"/>
          <w:numId w:val="1"/>
        </w:numPr>
        <w:spacing w:after="120" w:line="240" w:lineRule="auto"/>
        <w:ind w:left="567" w:right="260" w:hanging="567"/>
        <w:jc w:val="both"/>
        <w:rPr>
          <w:rFonts w:ascii="Arial" w:hAnsi="Arial" w:cs="Arial"/>
          <w:b/>
        </w:rPr>
      </w:pPr>
      <w:r>
        <w:rPr>
          <w:rFonts w:ascii="Arial" w:hAnsi="Arial" w:cs="Arial"/>
          <w:b/>
        </w:rPr>
        <w:t>The level of the module (</w:t>
      </w:r>
      <w:r w:rsidR="00D83563" w:rsidRPr="00302082">
        <w:rPr>
          <w:rFonts w:ascii="Arial" w:hAnsi="Arial" w:cs="Arial"/>
          <w:b/>
        </w:rPr>
        <w:t>Level</w:t>
      </w:r>
      <w:r w:rsidR="00441E76" w:rsidRPr="00302082">
        <w:rPr>
          <w:rFonts w:ascii="Arial" w:hAnsi="Arial" w:cs="Arial"/>
          <w:b/>
        </w:rPr>
        <w:t xml:space="preserve"> 4</w:t>
      </w:r>
      <w:r w:rsidR="001D0C7D" w:rsidRPr="00302082">
        <w:rPr>
          <w:rFonts w:ascii="Arial" w:hAnsi="Arial" w:cs="Arial"/>
          <w:b/>
        </w:rPr>
        <w:t xml:space="preserve">, </w:t>
      </w:r>
      <w:r w:rsidR="00441E76" w:rsidRPr="00302082">
        <w:rPr>
          <w:rFonts w:ascii="Arial" w:hAnsi="Arial" w:cs="Arial"/>
          <w:b/>
        </w:rPr>
        <w:t>Level 5</w:t>
      </w:r>
      <w:r w:rsidR="001D0C7D" w:rsidRPr="00302082">
        <w:rPr>
          <w:rFonts w:ascii="Arial" w:hAnsi="Arial" w:cs="Arial"/>
          <w:b/>
        </w:rPr>
        <w:t xml:space="preserve">, </w:t>
      </w:r>
      <w:r w:rsidR="00441E76" w:rsidRPr="00302082">
        <w:rPr>
          <w:rFonts w:ascii="Arial" w:hAnsi="Arial" w:cs="Arial"/>
          <w:b/>
        </w:rPr>
        <w:t>Level 6</w:t>
      </w:r>
      <w:r w:rsidR="001D0C7D" w:rsidRPr="00302082">
        <w:rPr>
          <w:rFonts w:ascii="Arial" w:hAnsi="Arial" w:cs="Arial"/>
          <w:b/>
        </w:rPr>
        <w:t xml:space="preserve"> or </w:t>
      </w:r>
      <w:r w:rsidR="00C612A8" w:rsidRPr="00302082">
        <w:rPr>
          <w:rFonts w:ascii="Arial" w:hAnsi="Arial" w:cs="Arial"/>
          <w:b/>
        </w:rPr>
        <w:t>L</w:t>
      </w:r>
      <w:r w:rsidR="00441E76" w:rsidRPr="00302082">
        <w:rPr>
          <w:rFonts w:ascii="Arial" w:hAnsi="Arial" w:cs="Arial"/>
          <w:b/>
        </w:rPr>
        <w:t>evel 7</w:t>
      </w:r>
      <w:r w:rsidR="009A2D37" w:rsidRPr="00302082">
        <w:rPr>
          <w:rFonts w:ascii="Arial" w:hAnsi="Arial" w:cs="Arial"/>
          <w:b/>
        </w:rPr>
        <w:t>)</w:t>
      </w:r>
    </w:p>
    <w:p w14:paraId="400BBEB5" w14:textId="226500A5" w:rsidR="00154D48" w:rsidRDefault="00945381" w:rsidP="00154D48">
      <w:pPr>
        <w:spacing w:after="120" w:line="240" w:lineRule="auto"/>
        <w:ind w:left="567" w:right="260"/>
        <w:rPr>
          <w:rFonts w:ascii="Arial" w:hAnsi="Arial" w:cs="Arial"/>
        </w:rPr>
      </w:pPr>
      <w:r>
        <w:rPr>
          <w:rFonts w:ascii="Arial" w:hAnsi="Arial" w:cs="Arial"/>
        </w:rPr>
        <w:t>Level 6</w:t>
      </w:r>
    </w:p>
    <w:p w14:paraId="1D9FF508" w14:textId="77777777" w:rsidR="00DA36FA" w:rsidRPr="00154D48" w:rsidRDefault="00DA36FA" w:rsidP="00154D48">
      <w:pPr>
        <w:spacing w:after="120" w:line="240" w:lineRule="auto"/>
        <w:ind w:left="567" w:right="260"/>
        <w:rPr>
          <w:rFonts w:ascii="Arial" w:hAnsi="Arial" w:cs="Arial"/>
          <w:iCs/>
        </w:rPr>
      </w:pPr>
    </w:p>
    <w:p w14:paraId="1C87EE21" w14:textId="77777777" w:rsidR="009A2D37" w:rsidRPr="00302082" w:rsidRDefault="009A2D37" w:rsidP="00696FF5">
      <w:pPr>
        <w:numPr>
          <w:ilvl w:val="0"/>
          <w:numId w:val="1"/>
        </w:numPr>
        <w:spacing w:after="120" w:line="240" w:lineRule="auto"/>
        <w:ind w:left="567" w:right="260" w:hanging="567"/>
        <w:jc w:val="both"/>
        <w:rPr>
          <w:rFonts w:ascii="Arial" w:hAnsi="Arial" w:cs="Arial"/>
          <w:b/>
        </w:rPr>
      </w:pPr>
      <w:r w:rsidRPr="00302082">
        <w:rPr>
          <w:rFonts w:ascii="Arial" w:hAnsi="Arial" w:cs="Arial"/>
          <w:b/>
        </w:rPr>
        <w:t xml:space="preserve">The number of credits and the ECTS value which the module represents </w:t>
      </w:r>
    </w:p>
    <w:p w14:paraId="25C720A3" w14:textId="17D673A4" w:rsidR="009A2D37" w:rsidRPr="00154D48" w:rsidRDefault="00DA36FA" w:rsidP="00154D48">
      <w:pPr>
        <w:spacing w:after="120" w:line="240" w:lineRule="auto"/>
        <w:ind w:left="567" w:right="260"/>
        <w:rPr>
          <w:rFonts w:ascii="Arial" w:hAnsi="Arial" w:cs="Arial"/>
        </w:rPr>
      </w:pPr>
      <w:r w:rsidRPr="00DA36FA">
        <w:rPr>
          <w:rFonts w:ascii="Arial" w:hAnsi="Arial" w:cs="Arial"/>
        </w:rPr>
        <w:t xml:space="preserve">30 </w:t>
      </w:r>
      <w:r w:rsidR="00945381">
        <w:rPr>
          <w:rFonts w:ascii="Arial" w:hAnsi="Arial" w:cs="Arial"/>
        </w:rPr>
        <w:t xml:space="preserve">credits </w:t>
      </w:r>
      <w:r w:rsidRPr="00DA36FA">
        <w:rPr>
          <w:rFonts w:ascii="Arial" w:hAnsi="Arial" w:cs="Arial"/>
        </w:rPr>
        <w:t>(</w:t>
      </w:r>
      <w:r w:rsidR="00945381">
        <w:rPr>
          <w:rFonts w:ascii="Arial" w:hAnsi="Arial" w:cs="Arial"/>
        </w:rPr>
        <w:t xml:space="preserve">15 </w:t>
      </w:r>
      <w:r w:rsidRPr="00DA36FA">
        <w:rPr>
          <w:rFonts w:ascii="Arial" w:hAnsi="Arial" w:cs="Arial"/>
        </w:rPr>
        <w:t>ECTS</w:t>
      </w:r>
      <w:r>
        <w:rPr>
          <w:rFonts w:ascii="Arial" w:hAnsi="Arial" w:cs="Arial"/>
        </w:rPr>
        <w:t>)</w:t>
      </w:r>
    </w:p>
    <w:p w14:paraId="633BCCFA" w14:textId="77777777" w:rsidR="00154D48" w:rsidRPr="00154D48" w:rsidRDefault="00154D48" w:rsidP="00154D48">
      <w:pPr>
        <w:spacing w:after="120" w:line="240" w:lineRule="auto"/>
        <w:ind w:left="567" w:right="260"/>
        <w:rPr>
          <w:rFonts w:ascii="Arial" w:hAnsi="Arial" w:cs="Arial"/>
        </w:rPr>
      </w:pPr>
    </w:p>
    <w:p w14:paraId="083382C4" w14:textId="77777777" w:rsidR="009A2D37" w:rsidRPr="00302082" w:rsidRDefault="009A2D37" w:rsidP="00696FF5">
      <w:pPr>
        <w:numPr>
          <w:ilvl w:val="0"/>
          <w:numId w:val="1"/>
        </w:numPr>
        <w:spacing w:after="120" w:line="240" w:lineRule="auto"/>
        <w:ind w:left="567" w:right="260" w:hanging="567"/>
        <w:jc w:val="both"/>
        <w:rPr>
          <w:rFonts w:ascii="Arial" w:hAnsi="Arial" w:cs="Arial"/>
          <w:b/>
        </w:rPr>
      </w:pPr>
      <w:r w:rsidRPr="00302082">
        <w:rPr>
          <w:rFonts w:ascii="Arial" w:hAnsi="Arial" w:cs="Arial"/>
          <w:b/>
        </w:rPr>
        <w:t>Which term(s) the module is to be taught in (or other teaching pattern)</w:t>
      </w:r>
    </w:p>
    <w:p w14:paraId="3B2C5AEA" w14:textId="77777777" w:rsidR="009A2D37" w:rsidRPr="00DA36FA" w:rsidRDefault="00DA36FA" w:rsidP="00DA36FA">
      <w:pPr>
        <w:spacing w:after="120" w:line="240" w:lineRule="auto"/>
        <w:ind w:left="567" w:right="260"/>
        <w:rPr>
          <w:rFonts w:ascii="Arial" w:hAnsi="Arial" w:cs="Arial"/>
          <w:iCs/>
        </w:rPr>
      </w:pPr>
      <w:r w:rsidRPr="00DA36FA">
        <w:rPr>
          <w:rFonts w:ascii="Arial" w:hAnsi="Arial" w:cs="Arial"/>
          <w:iCs/>
        </w:rPr>
        <w:t>Autumn</w:t>
      </w:r>
      <w:r w:rsidR="00945381">
        <w:rPr>
          <w:rFonts w:ascii="Arial" w:hAnsi="Arial" w:cs="Arial"/>
          <w:iCs/>
        </w:rPr>
        <w:t xml:space="preserve"> or Spring</w:t>
      </w:r>
    </w:p>
    <w:p w14:paraId="2FA8A850" w14:textId="77777777" w:rsidR="00154D48" w:rsidRPr="00154D48" w:rsidRDefault="00154D48" w:rsidP="00154D48">
      <w:pPr>
        <w:spacing w:after="120" w:line="240" w:lineRule="auto"/>
        <w:ind w:left="567" w:right="260"/>
        <w:rPr>
          <w:rFonts w:ascii="Arial" w:hAnsi="Arial" w:cs="Arial"/>
          <w:iCs/>
        </w:rPr>
      </w:pPr>
    </w:p>
    <w:p w14:paraId="744DCEB7" w14:textId="77777777" w:rsidR="009A2D37" w:rsidRPr="00302082" w:rsidRDefault="009A2D37" w:rsidP="00696FF5">
      <w:pPr>
        <w:numPr>
          <w:ilvl w:val="0"/>
          <w:numId w:val="1"/>
        </w:numPr>
        <w:spacing w:after="120" w:line="240" w:lineRule="auto"/>
        <w:ind w:left="567" w:right="260" w:hanging="567"/>
        <w:jc w:val="both"/>
        <w:rPr>
          <w:rFonts w:ascii="Arial" w:hAnsi="Arial" w:cs="Arial"/>
          <w:b/>
        </w:rPr>
      </w:pPr>
      <w:r w:rsidRPr="00302082">
        <w:rPr>
          <w:rFonts w:ascii="Arial" w:hAnsi="Arial" w:cs="Arial"/>
          <w:b/>
        </w:rPr>
        <w:t>Prerequisite and co-requisite modules</w:t>
      </w:r>
    </w:p>
    <w:p w14:paraId="68003186" w14:textId="77777777" w:rsidR="009A2D37" w:rsidRPr="00154D48" w:rsidRDefault="00DA36FA" w:rsidP="00154D48">
      <w:pPr>
        <w:spacing w:after="120" w:line="240" w:lineRule="auto"/>
        <w:ind w:left="567" w:right="260"/>
        <w:rPr>
          <w:rFonts w:ascii="Arial" w:hAnsi="Arial" w:cs="Arial"/>
          <w:iCs/>
        </w:rPr>
      </w:pPr>
      <w:r w:rsidRPr="00DA36FA">
        <w:rPr>
          <w:rFonts w:ascii="Arial" w:hAnsi="Arial" w:cs="Arial"/>
          <w:iCs/>
        </w:rPr>
        <w:t>None</w:t>
      </w:r>
    </w:p>
    <w:p w14:paraId="6A78C302" w14:textId="77777777" w:rsidR="00154D48" w:rsidRPr="00154D48" w:rsidRDefault="00154D48" w:rsidP="00154D48">
      <w:pPr>
        <w:spacing w:after="120" w:line="240" w:lineRule="auto"/>
        <w:ind w:left="567" w:right="260"/>
        <w:rPr>
          <w:rFonts w:ascii="Arial" w:hAnsi="Arial" w:cs="Arial"/>
          <w:iCs/>
        </w:rPr>
      </w:pPr>
    </w:p>
    <w:p w14:paraId="35DE220E" w14:textId="77777777" w:rsidR="009A2D37" w:rsidRPr="00302082" w:rsidRDefault="009A2D37" w:rsidP="00696FF5">
      <w:pPr>
        <w:numPr>
          <w:ilvl w:val="0"/>
          <w:numId w:val="1"/>
        </w:numPr>
        <w:spacing w:after="120" w:line="240" w:lineRule="auto"/>
        <w:ind w:left="567" w:right="260" w:hanging="567"/>
        <w:jc w:val="both"/>
        <w:rPr>
          <w:rFonts w:ascii="Arial" w:hAnsi="Arial" w:cs="Arial"/>
          <w:b/>
        </w:rPr>
      </w:pPr>
      <w:r w:rsidRPr="00302082">
        <w:rPr>
          <w:rFonts w:ascii="Arial" w:hAnsi="Arial" w:cs="Arial"/>
          <w:b/>
        </w:rPr>
        <w:t>The programmes of study to which the module contributes</w:t>
      </w:r>
    </w:p>
    <w:p w14:paraId="25CD565E" w14:textId="77777777" w:rsidR="00945381" w:rsidRPr="00945381" w:rsidRDefault="00945381" w:rsidP="00945381">
      <w:pPr>
        <w:spacing w:after="120" w:line="240" w:lineRule="auto"/>
        <w:ind w:left="567" w:right="260"/>
        <w:rPr>
          <w:rFonts w:ascii="Arial" w:hAnsi="Arial" w:cs="Arial"/>
          <w:iCs/>
        </w:rPr>
      </w:pPr>
      <w:r w:rsidRPr="000B5F78">
        <w:rPr>
          <w:rFonts w:ascii="Arial" w:hAnsi="Arial" w:cs="Arial"/>
          <w:b/>
          <w:iCs/>
        </w:rPr>
        <w:t>Optional for:</w:t>
      </w:r>
      <w:r>
        <w:rPr>
          <w:rFonts w:ascii="Arial" w:hAnsi="Arial" w:cs="Arial"/>
          <w:iCs/>
        </w:rPr>
        <w:t xml:space="preserve"> </w:t>
      </w:r>
      <w:r w:rsidR="00DA36FA" w:rsidRPr="00DA36FA">
        <w:rPr>
          <w:rFonts w:ascii="Arial" w:hAnsi="Arial" w:cs="Arial"/>
          <w:iCs/>
        </w:rPr>
        <w:t xml:space="preserve">BA </w:t>
      </w:r>
      <w:r>
        <w:rPr>
          <w:rFonts w:ascii="Arial" w:hAnsi="Arial" w:cs="Arial"/>
          <w:iCs/>
        </w:rPr>
        <w:t xml:space="preserve">(Hons) </w:t>
      </w:r>
      <w:r w:rsidR="00DA36FA" w:rsidRPr="00DA36FA">
        <w:rPr>
          <w:rFonts w:ascii="Arial" w:hAnsi="Arial" w:cs="Arial"/>
          <w:iCs/>
        </w:rPr>
        <w:t>English and American Literature</w:t>
      </w:r>
      <w:r>
        <w:rPr>
          <w:rFonts w:ascii="Arial" w:hAnsi="Arial" w:cs="Arial"/>
          <w:iCs/>
        </w:rPr>
        <w:t xml:space="preserve">; </w:t>
      </w:r>
      <w:r w:rsidRPr="00945381">
        <w:rPr>
          <w:rFonts w:ascii="Arial" w:hAnsi="Arial" w:cs="Arial"/>
          <w:iCs/>
        </w:rPr>
        <w:t>BA (Hons) English, American and Postcolonial Literatures; BA (Hons) English and American Literature and Creative Writing; BA (Hons) English Literature; BA (Hons) English and Postcolonial Literatures; BA (Hons) English and Creative Writing; BA (Hons) Contemporary Literature</w:t>
      </w:r>
    </w:p>
    <w:p w14:paraId="51772179" w14:textId="77777777" w:rsidR="00945381" w:rsidRPr="00945381" w:rsidRDefault="00945381" w:rsidP="00945381">
      <w:pPr>
        <w:spacing w:after="120" w:line="240" w:lineRule="auto"/>
        <w:ind w:left="567" w:right="260"/>
        <w:rPr>
          <w:rFonts w:ascii="Arial" w:hAnsi="Arial" w:cs="Arial"/>
          <w:iCs/>
        </w:rPr>
      </w:pPr>
      <w:r w:rsidRPr="00945381">
        <w:rPr>
          <w:rFonts w:ascii="Arial" w:hAnsi="Arial" w:cs="Arial"/>
          <w:b/>
          <w:iCs/>
        </w:rPr>
        <w:t>Also optional for</w:t>
      </w:r>
      <w:r w:rsidRPr="00945381">
        <w:rPr>
          <w:rFonts w:ascii="Arial" w:hAnsi="Arial" w:cs="Arial"/>
          <w:iCs/>
        </w:rPr>
        <w:t xml:space="preserve"> JH English Literature programmes owned by English, SECL, History, Arts, Law</w:t>
      </w:r>
    </w:p>
    <w:p w14:paraId="624C0A2D" w14:textId="77777777" w:rsidR="009A2D37" w:rsidRPr="00154D48" w:rsidRDefault="009A2D37" w:rsidP="00154D48">
      <w:pPr>
        <w:spacing w:after="120" w:line="240" w:lineRule="auto"/>
        <w:ind w:left="567" w:right="260"/>
        <w:rPr>
          <w:rFonts w:ascii="Arial" w:hAnsi="Arial" w:cs="Arial"/>
          <w:iCs/>
        </w:rPr>
      </w:pPr>
    </w:p>
    <w:p w14:paraId="1A2F5DC8" w14:textId="77777777" w:rsidR="00154D48" w:rsidRPr="00154D48" w:rsidRDefault="00154D48" w:rsidP="00154D48">
      <w:pPr>
        <w:spacing w:after="120" w:line="240" w:lineRule="auto"/>
        <w:ind w:left="567" w:right="260"/>
        <w:rPr>
          <w:rFonts w:ascii="Arial" w:hAnsi="Arial" w:cs="Arial"/>
          <w:iCs/>
        </w:rPr>
      </w:pPr>
    </w:p>
    <w:p w14:paraId="262D77AE" w14:textId="77777777" w:rsidR="009A2D37" w:rsidRPr="00302082" w:rsidRDefault="009A2D37" w:rsidP="00696FF5">
      <w:pPr>
        <w:numPr>
          <w:ilvl w:val="0"/>
          <w:numId w:val="1"/>
        </w:numPr>
        <w:spacing w:after="120" w:line="240" w:lineRule="auto"/>
        <w:ind w:left="567" w:right="260" w:hanging="567"/>
        <w:rPr>
          <w:rFonts w:ascii="Arial" w:hAnsi="Arial" w:cs="Arial"/>
          <w:b/>
        </w:rPr>
      </w:pPr>
      <w:r w:rsidRPr="00302082">
        <w:rPr>
          <w:rFonts w:ascii="Arial" w:hAnsi="Arial" w:cs="Arial"/>
          <w:b/>
        </w:rPr>
        <w:t>The intended subject specific learning outcomes</w:t>
      </w:r>
      <w:r w:rsidR="00C729D7" w:rsidRPr="00302082">
        <w:rPr>
          <w:rFonts w:ascii="Arial" w:hAnsi="Arial" w:cs="Arial"/>
          <w:b/>
        </w:rPr>
        <w:t>.</w:t>
      </w:r>
      <w:r w:rsidR="00C729D7" w:rsidRPr="00302082">
        <w:rPr>
          <w:rFonts w:ascii="Arial" w:hAnsi="Arial" w:cs="Arial"/>
          <w:b/>
        </w:rPr>
        <w:br/>
        <w:t>On successfully completing the module students will be able to:</w:t>
      </w:r>
    </w:p>
    <w:p w14:paraId="395526A1" w14:textId="191F08D0" w:rsidR="00945381" w:rsidRPr="000B5F78" w:rsidRDefault="00945381" w:rsidP="000B5F78">
      <w:pPr>
        <w:pStyle w:val="ListParagraph"/>
        <w:numPr>
          <w:ilvl w:val="0"/>
          <w:numId w:val="10"/>
        </w:numPr>
        <w:spacing w:after="120" w:line="240" w:lineRule="auto"/>
        <w:ind w:right="260"/>
        <w:rPr>
          <w:rFonts w:ascii="Arial" w:hAnsi="Arial" w:cs="Arial"/>
        </w:rPr>
      </w:pPr>
      <w:r>
        <w:rPr>
          <w:rFonts w:ascii="Arial" w:hAnsi="Arial" w:cs="Arial"/>
        </w:rPr>
        <w:t>demonstrate</w:t>
      </w:r>
      <w:r w:rsidRPr="000B5F78">
        <w:rPr>
          <w:rFonts w:ascii="Arial" w:hAnsi="Arial" w:cs="Arial"/>
        </w:rPr>
        <w:t xml:space="preserve"> a rich and nuanced understanding of key issues in discussions of “the real” during the American Gilded Age. </w:t>
      </w:r>
    </w:p>
    <w:p w14:paraId="12B7AEDB" w14:textId="17C7F786" w:rsidR="00945381" w:rsidRPr="000B5F78" w:rsidRDefault="00945381" w:rsidP="000B5F78">
      <w:pPr>
        <w:pStyle w:val="ListParagraph"/>
        <w:numPr>
          <w:ilvl w:val="0"/>
          <w:numId w:val="10"/>
        </w:numPr>
        <w:spacing w:after="120" w:line="240" w:lineRule="auto"/>
        <w:ind w:right="260"/>
        <w:rPr>
          <w:rFonts w:ascii="Arial" w:hAnsi="Arial" w:cs="Arial"/>
        </w:rPr>
      </w:pPr>
      <w:r>
        <w:rPr>
          <w:rFonts w:ascii="Arial" w:hAnsi="Arial" w:cs="Arial"/>
        </w:rPr>
        <w:t>demonstrate</w:t>
      </w:r>
      <w:r w:rsidRPr="000B5F78">
        <w:rPr>
          <w:rFonts w:ascii="Arial" w:hAnsi="Arial" w:cs="Arial"/>
        </w:rPr>
        <w:t xml:space="preserve"> interdisciplinary and contextual knowledge of Gilded Age and Progressive Era society that will enhance their critical readings of late-nineteenth-century literature and literary culture. </w:t>
      </w:r>
    </w:p>
    <w:p w14:paraId="2BBBBC29" w14:textId="6A1B864C" w:rsidR="00945381" w:rsidRPr="000B5F78" w:rsidRDefault="00C25A2E" w:rsidP="000B5F78">
      <w:pPr>
        <w:pStyle w:val="ListParagraph"/>
        <w:numPr>
          <w:ilvl w:val="0"/>
          <w:numId w:val="10"/>
        </w:numPr>
        <w:spacing w:after="120" w:line="240" w:lineRule="auto"/>
        <w:ind w:right="260"/>
        <w:rPr>
          <w:rFonts w:ascii="Arial" w:hAnsi="Arial" w:cs="Arial"/>
        </w:rPr>
      </w:pPr>
      <w:r>
        <w:rPr>
          <w:rFonts w:ascii="Arial" w:hAnsi="Arial" w:cs="Arial"/>
        </w:rPr>
        <w:t>demonstrate</w:t>
      </w:r>
      <w:r w:rsidRPr="000B5F78">
        <w:rPr>
          <w:rFonts w:ascii="Arial" w:hAnsi="Arial" w:cs="Arial"/>
        </w:rPr>
        <w:t xml:space="preserve"> </w:t>
      </w:r>
      <w:r w:rsidR="00945381" w:rsidRPr="000B5F78">
        <w:rPr>
          <w:rFonts w:ascii="Arial" w:hAnsi="Arial" w:cs="Arial"/>
        </w:rPr>
        <w:t>an in-depth understanding of the social and political forces shaping nineteenth- and early-twentieth century American literature beyond that already covered in other areas of the degree.</w:t>
      </w:r>
    </w:p>
    <w:p w14:paraId="5C2E3800" w14:textId="28E31CAC" w:rsidR="00945381" w:rsidRPr="000B5F78" w:rsidRDefault="00945381" w:rsidP="000B5F78">
      <w:pPr>
        <w:pStyle w:val="ListParagraph"/>
        <w:numPr>
          <w:ilvl w:val="0"/>
          <w:numId w:val="10"/>
        </w:numPr>
        <w:spacing w:after="120" w:line="240" w:lineRule="auto"/>
        <w:ind w:right="260"/>
        <w:rPr>
          <w:rFonts w:ascii="Arial" w:hAnsi="Arial" w:cs="Arial"/>
        </w:rPr>
      </w:pPr>
      <w:r w:rsidRPr="000B5F78">
        <w:rPr>
          <w:rFonts w:ascii="Arial" w:hAnsi="Arial" w:cs="Arial"/>
        </w:rPr>
        <w:t>critique “realist” writers’ claim to objectivity and verisimilitude and question the applicability of notions such as “the real” and “the realistic” to literary texts.</w:t>
      </w:r>
    </w:p>
    <w:p w14:paraId="7427404C" w14:textId="5D31E595" w:rsidR="00273CF0" w:rsidRPr="000B5F78" w:rsidRDefault="00C25A2E" w:rsidP="000B5F78">
      <w:pPr>
        <w:pStyle w:val="ListParagraph"/>
        <w:numPr>
          <w:ilvl w:val="0"/>
          <w:numId w:val="10"/>
        </w:numPr>
        <w:spacing w:after="120" w:line="240" w:lineRule="auto"/>
        <w:ind w:right="260"/>
        <w:rPr>
          <w:rFonts w:ascii="Arial" w:hAnsi="Arial" w:cs="Arial"/>
        </w:rPr>
      </w:pPr>
      <w:r>
        <w:rPr>
          <w:rFonts w:ascii="Arial" w:hAnsi="Arial" w:cs="Arial"/>
        </w:rPr>
        <w:t>demonstrate</w:t>
      </w:r>
      <w:r w:rsidRPr="000B5F78">
        <w:rPr>
          <w:rFonts w:ascii="Arial" w:hAnsi="Arial" w:cs="Arial"/>
        </w:rPr>
        <w:t xml:space="preserve"> </w:t>
      </w:r>
      <w:r w:rsidR="00945381" w:rsidRPr="000B5F78">
        <w:rPr>
          <w:rFonts w:ascii="Arial" w:hAnsi="Arial" w:cs="Arial"/>
        </w:rPr>
        <w:t>a greater depth of knowledge on the transatlantic networks of influence shaping literature and culture in the Gilded Age.</w:t>
      </w:r>
    </w:p>
    <w:p w14:paraId="20DA9DD2" w14:textId="77777777" w:rsidR="00154D48" w:rsidRPr="00154D48" w:rsidRDefault="00154D48" w:rsidP="00154D48">
      <w:pPr>
        <w:spacing w:after="120" w:line="240" w:lineRule="auto"/>
        <w:ind w:left="567" w:right="260"/>
        <w:rPr>
          <w:rFonts w:ascii="Arial" w:hAnsi="Arial" w:cs="Arial"/>
        </w:rPr>
      </w:pPr>
    </w:p>
    <w:p w14:paraId="7DE53EA7" w14:textId="77777777" w:rsidR="00C729D7" w:rsidRPr="00302082" w:rsidRDefault="009A2D37" w:rsidP="00696FF5">
      <w:pPr>
        <w:numPr>
          <w:ilvl w:val="0"/>
          <w:numId w:val="1"/>
        </w:numPr>
        <w:spacing w:after="120" w:line="240" w:lineRule="auto"/>
        <w:ind w:left="567" w:right="260" w:hanging="567"/>
        <w:rPr>
          <w:rFonts w:ascii="Arial" w:hAnsi="Arial" w:cs="Arial"/>
          <w:b/>
        </w:rPr>
      </w:pPr>
      <w:r w:rsidRPr="00302082">
        <w:rPr>
          <w:rFonts w:ascii="Arial" w:hAnsi="Arial" w:cs="Arial"/>
          <w:b/>
        </w:rPr>
        <w:lastRenderedPageBreak/>
        <w:t>The intended generic learning outcomes</w:t>
      </w:r>
      <w:r w:rsidR="00C729D7" w:rsidRPr="00302082">
        <w:rPr>
          <w:rFonts w:ascii="Arial" w:hAnsi="Arial" w:cs="Arial"/>
          <w:b/>
        </w:rPr>
        <w:t>.</w:t>
      </w:r>
      <w:r w:rsidR="00C729D7" w:rsidRPr="00302082">
        <w:rPr>
          <w:rFonts w:ascii="Arial" w:hAnsi="Arial" w:cs="Arial"/>
          <w:b/>
        </w:rPr>
        <w:br/>
        <w:t>On successfully completing the module students will be able to:</w:t>
      </w:r>
    </w:p>
    <w:p w14:paraId="5EA183CD" w14:textId="5E416F9A" w:rsidR="00945381" w:rsidRPr="00945381" w:rsidRDefault="00C25A2E" w:rsidP="000B5F78">
      <w:pPr>
        <w:pStyle w:val="Default"/>
        <w:numPr>
          <w:ilvl w:val="0"/>
          <w:numId w:val="11"/>
        </w:numPr>
        <w:spacing w:after="120"/>
        <w:ind w:right="260"/>
        <w:rPr>
          <w:color w:val="auto"/>
          <w:sz w:val="22"/>
          <w:szCs w:val="22"/>
        </w:rPr>
      </w:pPr>
      <w:r>
        <w:rPr>
          <w:color w:val="auto"/>
          <w:sz w:val="22"/>
          <w:szCs w:val="22"/>
        </w:rPr>
        <w:t>demonstrate</w:t>
      </w:r>
      <w:r w:rsidR="00945381" w:rsidRPr="00945381">
        <w:rPr>
          <w:color w:val="auto"/>
          <w:sz w:val="22"/>
          <w:szCs w:val="22"/>
        </w:rPr>
        <w:t xml:space="preserve"> the ability to synthesise complex information with precision and subtlety;</w:t>
      </w:r>
    </w:p>
    <w:p w14:paraId="754A487B" w14:textId="0F63450F" w:rsidR="00945381" w:rsidRPr="00945381" w:rsidRDefault="00C25A2E" w:rsidP="000B5F78">
      <w:pPr>
        <w:pStyle w:val="Default"/>
        <w:numPr>
          <w:ilvl w:val="0"/>
          <w:numId w:val="11"/>
        </w:numPr>
        <w:spacing w:after="120"/>
        <w:ind w:right="260"/>
        <w:rPr>
          <w:color w:val="auto"/>
          <w:sz w:val="22"/>
          <w:szCs w:val="22"/>
        </w:rPr>
      </w:pPr>
      <w:r>
        <w:rPr>
          <w:color w:val="auto"/>
          <w:sz w:val="22"/>
          <w:szCs w:val="22"/>
        </w:rPr>
        <w:t>demonstrate</w:t>
      </w:r>
      <w:r w:rsidR="00945381" w:rsidRPr="00945381">
        <w:rPr>
          <w:color w:val="auto"/>
          <w:sz w:val="22"/>
          <w:szCs w:val="22"/>
        </w:rPr>
        <w:t xml:space="preserve"> enhanced skills at comprehending, analysing, and interrogating a variety of texts and assessing the value of diverse critical approaches and ideas;</w:t>
      </w:r>
    </w:p>
    <w:p w14:paraId="3DCB7DEF" w14:textId="3B63633C" w:rsidR="00945381" w:rsidRPr="00945381" w:rsidRDefault="00C25A2E" w:rsidP="000B5F78">
      <w:pPr>
        <w:pStyle w:val="Default"/>
        <w:numPr>
          <w:ilvl w:val="0"/>
          <w:numId w:val="11"/>
        </w:numPr>
        <w:spacing w:after="120"/>
        <w:ind w:right="260"/>
        <w:rPr>
          <w:color w:val="auto"/>
          <w:sz w:val="22"/>
          <w:szCs w:val="22"/>
        </w:rPr>
      </w:pPr>
      <w:r>
        <w:rPr>
          <w:color w:val="auto"/>
          <w:sz w:val="22"/>
          <w:szCs w:val="22"/>
        </w:rPr>
        <w:t>demonstrate</w:t>
      </w:r>
      <w:r w:rsidR="00945381" w:rsidRPr="00945381">
        <w:rPr>
          <w:color w:val="auto"/>
          <w:sz w:val="22"/>
          <w:szCs w:val="22"/>
        </w:rPr>
        <w:t xml:space="preserve"> </w:t>
      </w:r>
      <w:r w:rsidR="00D148E0" w:rsidRPr="000B5F78">
        <w:rPr>
          <w:rFonts w:eastAsia="Times New Roman"/>
          <w:color w:val="323130"/>
          <w:sz w:val="22"/>
          <w:szCs w:val="22"/>
          <w:shd w:val="clear" w:color="auto" w:fill="FFFFFF"/>
        </w:rPr>
        <w:t>ability to communicate effectively to a variety of audiences and/or using a variety of methods</w:t>
      </w:r>
      <w:r w:rsidR="00945381" w:rsidRPr="00945381">
        <w:rPr>
          <w:color w:val="auto"/>
          <w:sz w:val="22"/>
          <w:szCs w:val="22"/>
        </w:rPr>
        <w:t>;</w:t>
      </w:r>
    </w:p>
    <w:p w14:paraId="42AB1F5A" w14:textId="6EE2C592" w:rsidR="00945381" w:rsidRPr="00945381" w:rsidRDefault="00C25A2E" w:rsidP="000B5F78">
      <w:pPr>
        <w:pStyle w:val="Default"/>
        <w:numPr>
          <w:ilvl w:val="0"/>
          <w:numId w:val="11"/>
        </w:numPr>
        <w:spacing w:after="120"/>
        <w:ind w:right="260"/>
        <w:rPr>
          <w:color w:val="auto"/>
          <w:sz w:val="22"/>
          <w:szCs w:val="22"/>
        </w:rPr>
      </w:pPr>
      <w:r>
        <w:rPr>
          <w:color w:val="auto"/>
          <w:sz w:val="22"/>
          <w:szCs w:val="22"/>
        </w:rPr>
        <w:t>demonstrate</w:t>
      </w:r>
      <w:r w:rsidR="00945381" w:rsidRPr="00945381">
        <w:rPr>
          <w:color w:val="auto"/>
          <w:sz w:val="22"/>
          <w:szCs w:val="22"/>
        </w:rPr>
        <w:t xml:space="preserve"> their capacity to carry out independent research.</w:t>
      </w:r>
    </w:p>
    <w:p w14:paraId="39DE9E41" w14:textId="77777777" w:rsidR="00945381" w:rsidRPr="00945381" w:rsidRDefault="00945381" w:rsidP="00945381">
      <w:pPr>
        <w:pStyle w:val="Default"/>
        <w:spacing w:after="120"/>
        <w:ind w:left="567" w:right="260"/>
        <w:rPr>
          <w:color w:val="auto"/>
          <w:sz w:val="22"/>
          <w:szCs w:val="22"/>
        </w:rPr>
      </w:pPr>
    </w:p>
    <w:p w14:paraId="272C000D" w14:textId="77777777" w:rsidR="00154D48" w:rsidRDefault="00154D48" w:rsidP="00154D48">
      <w:pPr>
        <w:pStyle w:val="Default"/>
        <w:spacing w:after="120"/>
        <w:ind w:left="567" w:right="260"/>
        <w:rPr>
          <w:color w:val="auto"/>
          <w:sz w:val="22"/>
          <w:szCs w:val="22"/>
        </w:rPr>
      </w:pPr>
    </w:p>
    <w:p w14:paraId="5E0AC6DE" w14:textId="77777777" w:rsidR="009A2D37" w:rsidRPr="00302082" w:rsidRDefault="009A2D37" w:rsidP="00696FF5">
      <w:pPr>
        <w:numPr>
          <w:ilvl w:val="0"/>
          <w:numId w:val="1"/>
        </w:numPr>
        <w:spacing w:after="120" w:line="240" w:lineRule="auto"/>
        <w:ind w:left="567" w:right="260" w:hanging="567"/>
        <w:jc w:val="both"/>
        <w:rPr>
          <w:rFonts w:ascii="Arial" w:hAnsi="Arial" w:cs="Arial"/>
          <w:b/>
        </w:rPr>
      </w:pPr>
      <w:r w:rsidRPr="00302082">
        <w:rPr>
          <w:rFonts w:ascii="Arial" w:hAnsi="Arial" w:cs="Arial"/>
          <w:b/>
        </w:rPr>
        <w:t>A synopsis of the curriculum</w:t>
      </w:r>
    </w:p>
    <w:p w14:paraId="5E7C0BD0" w14:textId="256B9C83" w:rsidR="009A2D37" w:rsidRPr="00154D48" w:rsidRDefault="00945381" w:rsidP="00154D48">
      <w:pPr>
        <w:spacing w:after="120" w:line="240" w:lineRule="auto"/>
        <w:ind w:left="567" w:right="260"/>
        <w:rPr>
          <w:rFonts w:ascii="Arial" w:hAnsi="Arial" w:cs="Arial"/>
          <w:iCs/>
        </w:rPr>
      </w:pPr>
      <w:r w:rsidRPr="00945381">
        <w:rPr>
          <w:rFonts w:ascii="Arial" w:hAnsi="Arial" w:cs="Arial"/>
          <w:iCs/>
        </w:rPr>
        <w:t xml:space="preserve">What is at stake when artists and writers decide to take the “real world” as the subject of their art? In the later nineteenth century, to depict “reality” in fiction and art became a radical act of social protest and critique. In an endeavour to locate the “truth” behind American society, realists moved well beyond pre-existing societal norms to investigate the squalid living conditions of immigrants in the New York slums, participate in Native American religious ceremonies, and probe the psychosexual neuroses of the middle classes. This module explores the American “ideology of realism” (Michael Elliot) in the late nineteenth- and early- twentieth centuries as expressed in a variety of forms and genres, including: the novel, painting, anthropology and photography. We will discuss the reasons behind the emergence of realism in the later nineteenth century, how it interacted with the new “mass culture”, whether it critiqued or reinforced dominant racial, sexual, ethnic and class-based prejudices, and, finally, why it declined in the twentieth century as the favoured aesthetic of the American avant-garde. On this module we will move far beyond seeing realism as merely a tame, neutral artistic style to investigate how it pointed to a radical “way of seeing” the nineteenth- and early-twentieth-century world. </w:t>
      </w:r>
    </w:p>
    <w:p w14:paraId="57DE0A3F" w14:textId="77777777" w:rsidR="00154D48" w:rsidRPr="00154D48" w:rsidRDefault="00154D48" w:rsidP="00154D48">
      <w:pPr>
        <w:spacing w:after="120" w:line="240" w:lineRule="auto"/>
        <w:ind w:left="567" w:right="260"/>
        <w:rPr>
          <w:rFonts w:ascii="Arial" w:hAnsi="Arial" w:cs="Arial"/>
          <w:iCs/>
        </w:rPr>
      </w:pPr>
    </w:p>
    <w:p w14:paraId="7C3BEB00" w14:textId="77777777" w:rsidR="009A2D37" w:rsidRPr="00302082" w:rsidRDefault="00883204" w:rsidP="00696FF5">
      <w:pPr>
        <w:numPr>
          <w:ilvl w:val="0"/>
          <w:numId w:val="1"/>
        </w:numPr>
        <w:spacing w:after="120" w:line="240" w:lineRule="auto"/>
        <w:ind w:left="567" w:right="260" w:hanging="567"/>
        <w:jc w:val="both"/>
        <w:rPr>
          <w:rFonts w:ascii="Arial" w:hAnsi="Arial" w:cs="Arial"/>
          <w:b/>
        </w:rPr>
      </w:pPr>
      <w:r>
        <w:rPr>
          <w:rFonts w:ascii="Arial" w:hAnsi="Arial" w:cs="Arial"/>
          <w:b/>
        </w:rPr>
        <w:t>Reading l</w:t>
      </w:r>
      <w:r w:rsidR="009A2D37" w:rsidRPr="00302082">
        <w:rPr>
          <w:rFonts w:ascii="Arial" w:hAnsi="Arial" w:cs="Arial"/>
          <w:b/>
        </w:rPr>
        <w:t xml:space="preserve">ist </w:t>
      </w:r>
      <w:r w:rsidR="00274ED7" w:rsidRPr="00302082">
        <w:rPr>
          <w:rFonts w:ascii="Arial" w:hAnsi="Arial" w:cs="Arial"/>
          <w:b/>
        </w:rPr>
        <w:t>(Indicative list, current at time of publication. Reading lists will be published annually)</w:t>
      </w:r>
    </w:p>
    <w:p w14:paraId="21B35038" w14:textId="77777777" w:rsidR="00945381" w:rsidRPr="00945381" w:rsidRDefault="00945381" w:rsidP="00945381">
      <w:pPr>
        <w:spacing w:after="120" w:line="240" w:lineRule="auto"/>
        <w:ind w:left="567" w:right="260"/>
        <w:jc w:val="both"/>
        <w:rPr>
          <w:rFonts w:ascii="Arial" w:hAnsi="Arial" w:cs="Arial"/>
        </w:rPr>
      </w:pPr>
      <w:r w:rsidRPr="00945381">
        <w:rPr>
          <w:rFonts w:ascii="Arial" w:hAnsi="Arial" w:cs="Arial"/>
          <w:i/>
        </w:rPr>
        <w:t>Life in the Iron Mills</w:t>
      </w:r>
      <w:r w:rsidRPr="00945381">
        <w:rPr>
          <w:rFonts w:ascii="Arial" w:hAnsi="Arial" w:cs="Arial"/>
        </w:rPr>
        <w:t xml:space="preserve"> (1861) – Rebecca Harding Davis (Boston and New York: Bedford Cultural Editions, 1998).</w:t>
      </w:r>
    </w:p>
    <w:p w14:paraId="77193980" w14:textId="77777777" w:rsidR="00945381" w:rsidRPr="00945381" w:rsidRDefault="00945381" w:rsidP="00945381">
      <w:pPr>
        <w:spacing w:after="120" w:line="240" w:lineRule="auto"/>
        <w:ind w:left="567" w:right="260"/>
        <w:jc w:val="both"/>
        <w:rPr>
          <w:rFonts w:ascii="Arial" w:hAnsi="Arial" w:cs="Arial"/>
        </w:rPr>
      </w:pPr>
      <w:r w:rsidRPr="00945381">
        <w:rPr>
          <w:rFonts w:ascii="Arial" w:hAnsi="Arial" w:cs="Arial"/>
        </w:rPr>
        <w:t>Electronic version available at http://www.gutenberg.org/files/876/876-h/876-h.htm</w:t>
      </w:r>
    </w:p>
    <w:p w14:paraId="1DBFD671" w14:textId="1C9702CB" w:rsidR="00945381" w:rsidRPr="00945381" w:rsidRDefault="00D63991" w:rsidP="00945381">
      <w:pPr>
        <w:spacing w:after="120" w:line="240" w:lineRule="auto"/>
        <w:ind w:left="567" w:right="260"/>
        <w:jc w:val="both"/>
        <w:rPr>
          <w:rFonts w:ascii="Arial" w:hAnsi="Arial" w:cs="Arial"/>
        </w:rPr>
      </w:pPr>
      <w:r>
        <w:rPr>
          <w:rFonts w:ascii="Arial" w:hAnsi="Arial" w:cs="Arial"/>
          <w:i/>
        </w:rPr>
        <w:t>The Bostonians</w:t>
      </w:r>
      <w:r w:rsidR="00945381" w:rsidRPr="00945381">
        <w:rPr>
          <w:rFonts w:ascii="Arial" w:hAnsi="Arial" w:cs="Arial"/>
        </w:rPr>
        <w:t xml:space="preserve"> (188</w:t>
      </w:r>
      <w:r>
        <w:rPr>
          <w:rFonts w:ascii="Arial" w:hAnsi="Arial" w:cs="Arial"/>
        </w:rPr>
        <w:t>6</w:t>
      </w:r>
      <w:r w:rsidR="00945381" w:rsidRPr="00945381">
        <w:rPr>
          <w:rFonts w:ascii="Arial" w:hAnsi="Arial" w:cs="Arial"/>
        </w:rPr>
        <w:t>) – Henry James (London: Penguin Classics, 200</w:t>
      </w:r>
      <w:r>
        <w:rPr>
          <w:rFonts w:ascii="Arial" w:hAnsi="Arial" w:cs="Arial"/>
        </w:rPr>
        <w:t>0</w:t>
      </w:r>
      <w:r w:rsidR="00945381" w:rsidRPr="00945381">
        <w:rPr>
          <w:rFonts w:ascii="Arial" w:hAnsi="Arial" w:cs="Arial"/>
        </w:rPr>
        <w:t>)</w:t>
      </w:r>
    </w:p>
    <w:p w14:paraId="6392791A" w14:textId="77777777" w:rsidR="00945381" w:rsidRPr="00945381" w:rsidRDefault="00945381" w:rsidP="00945381">
      <w:pPr>
        <w:spacing w:after="120" w:line="240" w:lineRule="auto"/>
        <w:ind w:left="567" w:right="260"/>
        <w:jc w:val="both"/>
        <w:rPr>
          <w:rFonts w:ascii="Arial" w:hAnsi="Arial" w:cs="Arial"/>
        </w:rPr>
      </w:pPr>
      <w:r w:rsidRPr="00945381">
        <w:rPr>
          <w:rFonts w:ascii="Arial" w:hAnsi="Arial" w:cs="Arial"/>
          <w:i/>
        </w:rPr>
        <w:t>A Hazard of New Fortunes</w:t>
      </w:r>
      <w:r w:rsidRPr="00945381">
        <w:rPr>
          <w:rFonts w:ascii="Arial" w:hAnsi="Arial" w:cs="Arial"/>
        </w:rPr>
        <w:t xml:space="preserve"> (1890) – William Dean Howells (Toronto: Modern Library Paperback, 2002)</w:t>
      </w:r>
    </w:p>
    <w:p w14:paraId="053CC24D" w14:textId="77777777" w:rsidR="00945381" w:rsidRPr="00945381" w:rsidRDefault="00945381" w:rsidP="00945381">
      <w:pPr>
        <w:spacing w:after="120" w:line="240" w:lineRule="auto"/>
        <w:ind w:left="567" w:right="260"/>
        <w:jc w:val="both"/>
        <w:rPr>
          <w:rFonts w:ascii="Arial" w:hAnsi="Arial" w:cs="Arial"/>
        </w:rPr>
      </w:pPr>
      <w:r w:rsidRPr="00945381">
        <w:rPr>
          <w:rFonts w:ascii="Arial" w:hAnsi="Arial" w:cs="Arial"/>
          <w:i/>
        </w:rPr>
        <w:t>Maggie</w:t>
      </w:r>
      <w:r w:rsidRPr="00945381">
        <w:rPr>
          <w:rFonts w:ascii="Arial" w:hAnsi="Arial" w:cs="Arial"/>
        </w:rPr>
        <w:t xml:space="preserve"> (1893)– Stephen Crane (London:Norton Critical Editions 1979)</w:t>
      </w:r>
    </w:p>
    <w:p w14:paraId="06F6AE03" w14:textId="77777777" w:rsidR="00945381" w:rsidRPr="00945381" w:rsidRDefault="00945381" w:rsidP="00945381">
      <w:pPr>
        <w:spacing w:after="120" w:line="240" w:lineRule="auto"/>
        <w:ind w:left="567" w:right="260"/>
        <w:jc w:val="both"/>
        <w:rPr>
          <w:rFonts w:ascii="Arial" w:hAnsi="Arial" w:cs="Arial"/>
        </w:rPr>
      </w:pPr>
      <w:r w:rsidRPr="00945381">
        <w:rPr>
          <w:rFonts w:ascii="Arial" w:hAnsi="Arial" w:cs="Arial"/>
        </w:rPr>
        <w:t>Realist American Paintings and Photography (Thomas Eakins, Mary Cassatt, Ashcan School, Lewis Hine) Access via http://www.philamuseum.org/micro_sites/exhibitions/eakins/index.html; http://www.artchive.com/artchive/S/sloan.html#images;  http://www.shorpy.com/lewis-hine-photos</w:t>
      </w:r>
    </w:p>
    <w:p w14:paraId="407E58BF" w14:textId="77777777" w:rsidR="009A2D37" w:rsidRPr="00154D48" w:rsidRDefault="00945381" w:rsidP="00945381">
      <w:pPr>
        <w:spacing w:after="120" w:line="240" w:lineRule="auto"/>
        <w:ind w:left="567" w:right="260"/>
        <w:jc w:val="both"/>
        <w:rPr>
          <w:rFonts w:ascii="Arial" w:hAnsi="Arial" w:cs="Arial"/>
        </w:rPr>
      </w:pPr>
      <w:r w:rsidRPr="00945381">
        <w:rPr>
          <w:rFonts w:ascii="Arial" w:hAnsi="Arial" w:cs="Arial"/>
          <w:i/>
        </w:rPr>
        <w:t>Letters from New York</w:t>
      </w:r>
      <w:r w:rsidRPr="00945381">
        <w:rPr>
          <w:rFonts w:ascii="Arial" w:hAnsi="Arial" w:cs="Arial"/>
        </w:rPr>
        <w:t xml:space="preserve"> (1880-1891) – José Martí in Jose Marti Selected Writings trans. Esther Allen (London: Penguin Books, 2002)</w:t>
      </w:r>
    </w:p>
    <w:p w14:paraId="4A1F5EF1" w14:textId="77777777" w:rsidR="00154D48" w:rsidRPr="00154D48" w:rsidRDefault="00154D48" w:rsidP="00154D48">
      <w:pPr>
        <w:spacing w:after="120" w:line="240" w:lineRule="auto"/>
        <w:ind w:left="567" w:right="260"/>
        <w:jc w:val="both"/>
        <w:rPr>
          <w:rFonts w:ascii="Arial" w:hAnsi="Arial" w:cs="Arial"/>
        </w:rPr>
      </w:pPr>
    </w:p>
    <w:p w14:paraId="308A2F4D" w14:textId="77777777" w:rsidR="00883204" w:rsidRPr="00883204" w:rsidRDefault="009A2D37" w:rsidP="00696FF5">
      <w:pPr>
        <w:numPr>
          <w:ilvl w:val="0"/>
          <w:numId w:val="1"/>
        </w:numPr>
        <w:spacing w:after="120" w:line="240" w:lineRule="auto"/>
        <w:ind w:left="567" w:right="260" w:hanging="567"/>
        <w:rPr>
          <w:rFonts w:ascii="Arial" w:hAnsi="Arial" w:cs="Arial"/>
          <w:i/>
          <w:iCs/>
        </w:rPr>
      </w:pPr>
      <w:r w:rsidRPr="00302082">
        <w:rPr>
          <w:rFonts w:ascii="Arial" w:hAnsi="Arial" w:cs="Arial"/>
          <w:b/>
        </w:rPr>
        <w:t>Learning</w:t>
      </w:r>
      <w:r w:rsidR="00883204">
        <w:rPr>
          <w:rFonts w:ascii="Arial" w:hAnsi="Arial" w:cs="Arial"/>
          <w:b/>
        </w:rPr>
        <w:t xml:space="preserve"> and t</w:t>
      </w:r>
      <w:r w:rsidR="006F3F8B" w:rsidRPr="00302082">
        <w:rPr>
          <w:rFonts w:ascii="Arial" w:hAnsi="Arial" w:cs="Arial"/>
          <w:b/>
        </w:rPr>
        <w:t>eaching m</w:t>
      </w:r>
      <w:r w:rsidRPr="00302082">
        <w:rPr>
          <w:rFonts w:ascii="Arial" w:hAnsi="Arial" w:cs="Arial"/>
          <w:b/>
        </w:rPr>
        <w:t>ethods</w:t>
      </w:r>
    </w:p>
    <w:p w14:paraId="3F515042" w14:textId="77777777" w:rsidR="00C25A2E" w:rsidRPr="00C25A2E" w:rsidRDefault="00C25A2E" w:rsidP="00C25A2E">
      <w:pPr>
        <w:spacing w:after="120" w:line="240" w:lineRule="auto"/>
        <w:ind w:left="567" w:right="260"/>
        <w:jc w:val="both"/>
        <w:rPr>
          <w:rFonts w:ascii="Arial" w:eastAsiaTheme="minorHAnsi" w:hAnsi="Arial" w:cs="Arial"/>
          <w:iCs/>
          <w:lang w:eastAsia="en-US"/>
        </w:rPr>
      </w:pPr>
      <w:r w:rsidRPr="00C25A2E">
        <w:rPr>
          <w:rFonts w:ascii="Arial" w:eastAsiaTheme="minorHAnsi" w:hAnsi="Arial" w:cs="Arial"/>
          <w:iCs/>
          <w:lang w:eastAsia="en-US"/>
        </w:rPr>
        <w:t>Total contact hours:</w:t>
      </w:r>
      <w:r w:rsidRPr="00C25A2E">
        <w:rPr>
          <w:rFonts w:ascii="Arial" w:eastAsiaTheme="minorHAnsi" w:hAnsi="Arial" w:cs="Arial"/>
          <w:iCs/>
          <w:lang w:eastAsia="en-US"/>
        </w:rPr>
        <w:tab/>
      </w:r>
      <w:r w:rsidRPr="00C25A2E">
        <w:rPr>
          <w:rFonts w:ascii="Arial" w:eastAsiaTheme="minorHAnsi" w:hAnsi="Arial" w:cs="Arial"/>
          <w:iCs/>
          <w:lang w:eastAsia="en-US"/>
        </w:rPr>
        <w:tab/>
      </w:r>
      <w:r>
        <w:rPr>
          <w:rFonts w:ascii="Arial" w:eastAsiaTheme="minorHAnsi" w:hAnsi="Arial" w:cs="Arial"/>
          <w:iCs/>
          <w:lang w:eastAsia="en-US"/>
        </w:rPr>
        <w:t>32</w:t>
      </w:r>
    </w:p>
    <w:p w14:paraId="2D80CF04" w14:textId="77777777" w:rsidR="00C25A2E" w:rsidRPr="00C25A2E" w:rsidRDefault="00C25A2E" w:rsidP="00C25A2E">
      <w:pPr>
        <w:spacing w:after="120" w:line="240" w:lineRule="auto"/>
        <w:ind w:left="567" w:right="260"/>
        <w:jc w:val="both"/>
        <w:rPr>
          <w:rFonts w:ascii="Arial" w:eastAsiaTheme="minorHAnsi" w:hAnsi="Arial" w:cs="Arial"/>
          <w:iCs/>
          <w:lang w:eastAsia="en-US"/>
        </w:rPr>
      </w:pPr>
      <w:r w:rsidRPr="00C25A2E">
        <w:rPr>
          <w:rFonts w:ascii="Arial" w:eastAsiaTheme="minorHAnsi" w:hAnsi="Arial" w:cs="Arial"/>
          <w:iCs/>
          <w:lang w:eastAsia="en-US"/>
        </w:rPr>
        <w:lastRenderedPageBreak/>
        <w:t>Private study hours:</w:t>
      </w:r>
      <w:r w:rsidRPr="00C25A2E">
        <w:rPr>
          <w:rFonts w:ascii="Arial" w:eastAsiaTheme="minorHAnsi" w:hAnsi="Arial" w:cs="Arial"/>
          <w:iCs/>
          <w:lang w:eastAsia="en-US"/>
        </w:rPr>
        <w:tab/>
      </w:r>
      <w:r w:rsidRPr="00C25A2E">
        <w:rPr>
          <w:rFonts w:ascii="Arial" w:eastAsiaTheme="minorHAnsi" w:hAnsi="Arial" w:cs="Arial"/>
          <w:iCs/>
          <w:lang w:eastAsia="en-US"/>
        </w:rPr>
        <w:tab/>
      </w:r>
      <w:r>
        <w:rPr>
          <w:rFonts w:ascii="Arial" w:eastAsiaTheme="minorHAnsi" w:hAnsi="Arial" w:cs="Arial"/>
          <w:iCs/>
          <w:lang w:eastAsia="en-US"/>
        </w:rPr>
        <w:t>268</w:t>
      </w:r>
    </w:p>
    <w:p w14:paraId="41929A87" w14:textId="77777777" w:rsidR="00C25A2E" w:rsidRPr="00C25A2E" w:rsidRDefault="00C25A2E" w:rsidP="00C25A2E">
      <w:pPr>
        <w:spacing w:after="120" w:line="240" w:lineRule="auto"/>
        <w:ind w:left="567" w:right="260"/>
        <w:jc w:val="both"/>
        <w:rPr>
          <w:rFonts w:ascii="Arial" w:eastAsiaTheme="minorHAnsi" w:hAnsi="Arial" w:cs="Arial"/>
          <w:iCs/>
          <w:lang w:eastAsia="en-US"/>
        </w:rPr>
      </w:pPr>
      <w:r w:rsidRPr="00C25A2E">
        <w:rPr>
          <w:rFonts w:ascii="Arial" w:eastAsiaTheme="minorHAnsi" w:hAnsi="Arial" w:cs="Arial"/>
          <w:iCs/>
          <w:lang w:eastAsia="en-US"/>
        </w:rPr>
        <w:t>Total study hours:</w:t>
      </w:r>
      <w:r w:rsidRPr="00C25A2E">
        <w:rPr>
          <w:rFonts w:ascii="Arial" w:eastAsiaTheme="minorHAnsi" w:hAnsi="Arial" w:cs="Arial"/>
          <w:iCs/>
          <w:lang w:eastAsia="en-US"/>
        </w:rPr>
        <w:tab/>
      </w:r>
      <w:r w:rsidRPr="00C25A2E">
        <w:rPr>
          <w:rFonts w:ascii="Arial" w:eastAsiaTheme="minorHAnsi" w:hAnsi="Arial" w:cs="Arial"/>
          <w:iCs/>
          <w:lang w:eastAsia="en-US"/>
        </w:rPr>
        <w:tab/>
        <w:t>300</w:t>
      </w:r>
    </w:p>
    <w:p w14:paraId="303F1139" w14:textId="77777777" w:rsidR="00154D48" w:rsidRPr="00154D48" w:rsidRDefault="00154D48" w:rsidP="00154D48">
      <w:pPr>
        <w:spacing w:after="120" w:line="240" w:lineRule="auto"/>
        <w:ind w:left="567" w:right="260"/>
        <w:rPr>
          <w:rFonts w:ascii="Arial" w:hAnsi="Arial" w:cs="Arial"/>
          <w:iCs/>
        </w:rPr>
      </w:pPr>
    </w:p>
    <w:p w14:paraId="7E848BEC" w14:textId="77777777" w:rsidR="00883204" w:rsidRPr="00883204" w:rsidRDefault="00EF4933" w:rsidP="00696FF5">
      <w:pPr>
        <w:numPr>
          <w:ilvl w:val="0"/>
          <w:numId w:val="1"/>
        </w:numPr>
        <w:spacing w:after="120" w:line="240" w:lineRule="auto"/>
        <w:ind w:left="567" w:right="260" w:hanging="567"/>
        <w:rPr>
          <w:rFonts w:ascii="Arial" w:hAnsi="Arial" w:cs="Arial"/>
          <w:i/>
          <w:iCs/>
        </w:rPr>
      </w:pPr>
      <w:r w:rsidRPr="00302082">
        <w:rPr>
          <w:rFonts w:ascii="Arial" w:hAnsi="Arial" w:cs="Arial"/>
          <w:b/>
        </w:rPr>
        <w:t>Assessment methods</w:t>
      </w:r>
    </w:p>
    <w:p w14:paraId="3DF8E33B" w14:textId="77777777" w:rsidR="00696FF5" w:rsidRPr="00696FF5" w:rsidRDefault="00696FF5" w:rsidP="00696FF5">
      <w:pPr>
        <w:pStyle w:val="ListParagraph"/>
        <w:numPr>
          <w:ilvl w:val="1"/>
          <w:numId w:val="9"/>
        </w:numPr>
        <w:spacing w:after="120"/>
        <w:ind w:left="567" w:hanging="567"/>
        <w:rPr>
          <w:rFonts w:ascii="Arial" w:hAnsi="Arial" w:cs="Arial"/>
          <w:iCs/>
        </w:rPr>
      </w:pPr>
      <w:r w:rsidRPr="00696FF5">
        <w:rPr>
          <w:rFonts w:ascii="Arial" w:hAnsi="Arial" w:cs="Arial"/>
          <w:iCs/>
        </w:rPr>
        <w:t>Main assessment methods</w:t>
      </w:r>
    </w:p>
    <w:p w14:paraId="430E2AFE" w14:textId="77777777" w:rsidR="00945381" w:rsidRPr="00945381" w:rsidRDefault="00945381" w:rsidP="00945381">
      <w:pPr>
        <w:spacing w:after="120" w:line="240" w:lineRule="auto"/>
        <w:ind w:left="567" w:right="260"/>
        <w:rPr>
          <w:rFonts w:ascii="Arial" w:hAnsi="Arial" w:cs="Arial"/>
          <w:iCs/>
        </w:rPr>
      </w:pPr>
    </w:p>
    <w:p w14:paraId="3D49A3D2" w14:textId="77777777" w:rsidR="00C25A2E" w:rsidRDefault="00C25A2E" w:rsidP="00154D48">
      <w:pPr>
        <w:spacing w:after="120" w:line="240" w:lineRule="auto"/>
        <w:ind w:left="567" w:right="260"/>
        <w:rPr>
          <w:rFonts w:ascii="Arial" w:hAnsi="Arial" w:cs="Arial"/>
          <w:iCs/>
        </w:rPr>
      </w:pPr>
      <w:commentRangeStart w:id="1"/>
      <w:r>
        <w:rPr>
          <w:rFonts w:ascii="Arial" w:hAnsi="Arial" w:cs="Arial"/>
          <w:iCs/>
        </w:rPr>
        <w:t>Two pieces of written work</w:t>
      </w:r>
      <w:r>
        <w:rPr>
          <w:rFonts w:ascii="Arial" w:hAnsi="Arial" w:cs="Arial"/>
          <w:iCs/>
        </w:rPr>
        <w:tab/>
      </w:r>
      <w:r>
        <w:rPr>
          <w:rFonts w:ascii="Arial" w:hAnsi="Arial" w:cs="Arial"/>
          <w:iCs/>
        </w:rPr>
        <w:tab/>
      </w:r>
      <w:r>
        <w:rPr>
          <w:rFonts w:ascii="Arial" w:hAnsi="Arial" w:cs="Arial"/>
          <w:iCs/>
        </w:rPr>
        <w:tab/>
        <w:t>6,000 words</w:t>
      </w:r>
      <w:r>
        <w:rPr>
          <w:rFonts w:ascii="Arial" w:hAnsi="Arial" w:cs="Arial"/>
          <w:iCs/>
        </w:rPr>
        <w:tab/>
      </w:r>
      <w:r>
        <w:rPr>
          <w:rFonts w:ascii="Arial" w:hAnsi="Arial" w:cs="Arial"/>
          <w:iCs/>
        </w:rPr>
        <w:tab/>
        <w:t>90%</w:t>
      </w:r>
      <w:commentRangeEnd w:id="1"/>
      <w:r w:rsidR="001D059C">
        <w:rPr>
          <w:rStyle w:val="CommentReference"/>
        </w:rPr>
        <w:commentReference w:id="1"/>
      </w:r>
    </w:p>
    <w:p w14:paraId="4D1E79D8" w14:textId="77777777" w:rsidR="00154D48" w:rsidRPr="00154D48" w:rsidRDefault="00C25A2E" w:rsidP="00154D48">
      <w:pPr>
        <w:spacing w:after="120" w:line="240" w:lineRule="auto"/>
        <w:ind w:left="567" w:right="260"/>
        <w:rPr>
          <w:rFonts w:ascii="Arial" w:hAnsi="Arial" w:cs="Arial"/>
          <w:iCs/>
        </w:rPr>
      </w:pPr>
      <w:r>
        <w:rPr>
          <w:rFonts w:ascii="Arial" w:hAnsi="Arial" w:cs="Arial"/>
          <w:iCs/>
        </w:rPr>
        <w:t>Seminar Performance</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10%</w:t>
      </w:r>
      <w:r>
        <w:rPr>
          <w:rFonts w:ascii="Arial" w:hAnsi="Arial" w:cs="Arial"/>
          <w:iCs/>
        </w:rPr>
        <w:tab/>
      </w:r>
      <w:r>
        <w:rPr>
          <w:rFonts w:ascii="Arial" w:hAnsi="Arial" w:cs="Arial"/>
          <w:iCs/>
        </w:rPr>
        <w:tab/>
      </w:r>
    </w:p>
    <w:p w14:paraId="2535230B" w14:textId="77777777" w:rsidR="00696FF5" w:rsidRPr="00696FF5" w:rsidRDefault="00696FF5" w:rsidP="00696FF5">
      <w:pPr>
        <w:spacing w:after="120"/>
        <w:ind w:left="567" w:hanging="567"/>
        <w:rPr>
          <w:rFonts w:ascii="Arial" w:hAnsi="Arial" w:cs="Arial"/>
          <w:iCs/>
        </w:rPr>
      </w:pPr>
      <w:r>
        <w:rPr>
          <w:rFonts w:ascii="Arial" w:hAnsi="Arial" w:cs="Arial"/>
          <w:iCs/>
        </w:rPr>
        <w:t>13.2</w:t>
      </w:r>
      <w:r>
        <w:rPr>
          <w:rFonts w:ascii="Arial" w:hAnsi="Arial" w:cs="Arial"/>
          <w:iCs/>
        </w:rPr>
        <w:tab/>
      </w:r>
      <w:r w:rsidRPr="00696FF5">
        <w:rPr>
          <w:rFonts w:ascii="Arial" w:hAnsi="Arial" w:cs="Arial"/>
          <w:iCs/>
        </w:rPr>
        <w:t xml:space="preserve">Reassessment methods </w:t>
      </w:r>
    </w:p>
    <w:p w14:paraId="028E3318" w14:textId="77777777" w:rsidR="00B72470" w:rsidRPr="00154D48" w:rsidRDefault="00C25A2E" w:rsidP="00154D48">
      <w:pPr>
        <w:spacing w:after="120" w:line="240" w:lineRule="auto"/>
        <w:ind w:left="567" w:right="260"/>
        <w:rPr>
          <w:rFonts w:ascii="Arial" w:hAnsi="Arial" w:cs="Arial"/>
          <w:iCs/>
        </w:rPr>
      </w:pPr>
      <w:r>
        <w:rPr>
          <w:rFonts w:ascii="Arial" w:hAnsi="Arial" w:cs="Arial"/>
          <w:iCs/>
        </w:rPr>
        <w:t>Like for like</w:t>
      </w:r>
    </w:p>
    <w:p w14:paraId="244AC7E2" w14:textId="77777777" w:rsidR="00154D48" w:rsidRPr="00154D48" w:rsidRDefault="00154D48" w:rsidP="00154D48">
      <w:pPr>
        <w:spacing w:after="120" w:line="240" w:lineRule="auto"/>
        <w:ind w:left="567" w:right="260"/>
        <w:rPr>
          <w:rFonts w:ascii="Arial" w:hAnsi="Arial" w:cs="Arial"/>
          <w:iCs/>
        </w:rPr>
      </w:pPr>
    </w:p>
    <w:p w14:paraId="63E2EA5D" w14:textId="77777777" w:rsidR="00274ED7" w:rsidRDefault="006F3F8B" w:rsidP="00696FF5">
      <w:pPr>
        <w:numPr>
          <w:ilvl w:val="0"/>
          <w:numId w:val="1"/>
        </w:numPr>
        <w:spacing w:after="120" w:line="240" w:lineRule="auto"/>
        <w:ind w:left="567" w:right="261" w:hanging="567"/>
        <w:jc w:val="both"/>
        <w:rPr>
          <w:rFonts w:ascii="Arial" w:hAnsi="Arial" w:cs="Arial"/>
          <w:b/>
          <w:i/>
          <w:iCs/>
        </w:rPr>
      </w:pPr>
      <w:r w:rsidRPr="00302082">
        <w:rPr>
          <w:rFonts w:ascii="Arial" w:hAnsi="Arial" w:cs="Arial"/>
          <w:b/>
          <w:i/>
          <w:iCs/>
        </w:rPr>
        <w:t xml:space="preserve">Map of </w:t>
      </w:r>
      <w:r w:rsidR="00883204" w:rsidRPr="00302082">
        <w:rPr>
          <w:rFonts w:ascii="Arial" w:hAnsi="Arial" w:cs="Arial"/>
          <w:b/>
          <w:i/>
          <w:iCs/>
        </w:rPr>
        <w:t xml:space="preserve">module learning outcomes </w:t>
      </w:r>
      <w:r w:rsidR="00B30E07" w:rsidRPr="00302082">
        <w:rPr>
          <w:rFonts w:ascii="Arial" w:hAnsi="Arial" w:cs="Arial"/>
          <w:b/>
          <w:i/>
          <w:iCs/>
        </w:rPr>
        <w:t>(sections 8 &amp; 9)</w:t>
      </w:r>
      <w:r w:rsidR="00883204">
        <w:rPr>
          <w:rFonts w:ascii="Arial" w:hAnsi="Arial" w:cs="Arial"/>
          <w:b/>
          <w:i/>
          <w:iCs/>
        </w:rPr>
        <w:t xml:space="preserve"> to l</w:t>
      </w:r>
      <w:r w:rsidRPr="00302082">
        <w:rPr>
          <w:rFonts w:ascii="Arial" w:hAnsi="Arial" w:cs="Arial"/>
          <w:b/>
          <w:i/>
          <w:iCs/>
        </w:rPr>
        <w:t>earning</w:t>
      </w:r>
      <w:r w:rsidR="00B30E07" w:rsidRPr="00302082">
        <w:rPr>
          <w:rFonts w:ascii="Arial" w:hAnsi="Arial" w:cs="Arial"/>
          <w:b/>
          <w:i/>
          <w:iCs/>
        </w:rPr>
        <w:t xml:space="preserve"> and </w:t>
      </w:r>
      <w:r w:rsidR="00883204" w:rsidRPr="00302082">
        <w:rPr>
          <w:rFonts w:ascii="Arial" w:hAnsi="Arial" w:cs="Arial"/>
          <w:b/>
          <w:i/>
          <w:iCs/>
        </w:rPr>
        <w:t>teaching m</w:t>
      </w:r>
      <w:r w:rsidR="00B30E07" w:rsidRPr="00302082">
        <w:rPr>
          <w:rFonts w:ascii="Arial" w:hAnsi="Arial" w:cs="Arial"/>
          <w:b/>
          <w:i/>
          <w:iCs/>
        </w:rPr>
        <w:t>ethods (section12</w:t>
      </w:r>
      <w:r w:rsidRPr="00302082">
        <w:rPr>
          <w:rFonts w:ascii="Arial" w:hAnsi="Arial" w:cs="Arial"/>
          <w:b/>
          <w:i/>
          <w:iCs/>
        </w:rPr>
        <w:t>) and m</w:t>
      </w:r>
      <w:r w:rsidR="00883204">
        <w:rPr>
          <w:rFonts w:ascii="Arial" w:hAnsi="Arial" w:cs="Arial"/>
          <w:b/>
          <w:i/>
          <w:iCs/>
        </w:rPr>
        <w:t>ethods of a</w:t>
      </w:r>
      <w:r w:rsidR="00B30E07" w:rsidRPr="00302082">
        <w:rPr>
          <w:rFonts w:ascii="Arial" w:hAnsi="Arial" w:cs="Arial"/>
          <w:b/>
          <w:i/>
          <w:iCs/>
        </w:rPr>
        <w:t>ssessment (section 13</w:t>
      </w:r>
      <w:r w:rsidR="00EF4933" w:rsidRPr="00302082">
        <w:rPr>
          <w:rFonts w:ascii="Arial" w:hAnsi="Arial" w:cs="Arial"/>
          <w:b/>
          <w:i/>
          <w:iCs/>
        </w:rPr>
        <w:t>)</w:t>
      </w:r>
    </w:p>
    <w:p w14:paraId="1345EAA6" w14:textId="77777777" w:rsidR="001C1787" w:rsidRPr="001C1787" w:rsidRDefault="001C1787" w:rsidP="001C1787">
      <w:pPr>
        <w:spacing w:after="120" w:line="240" w:lineRule="auto"/>
        <w:ind w:left="567" w:right="261"/>
        <w:jc w:val="both"/>
        <w:rPr>
          <w:rFonts w:ascii="Arial" w:hAnsi="Arial" w:cs="Arial"/>
          <w:i/>
          <w:iCs/>
        </w:rPr>
      </w:pPr>
    </w:p>
    <w:tbl>
      <w:tblPr>
        <w:tblStyle w:val="TableGrid"/>
        <w:tblW w:w="7542" w:type="dxa"/>
        <w:tblInd w:w="108" w:type="dxa"/>
        <w:tblLayout w:type="fixed"/>
        <w:tblLook w:val="04A0" w:firstRow="1" w:lastRow="0" w:firstColumn="1" w:lastColumn="0" w:noHBand="0" w:noVBand="1"/>
      </w:tblPr>
      <w:tblGrid>
        <w:gridCol w:w="2439"/>
        <w:gridCol w:w="567"/>
        <w:gridCol w:w="567"/>
        <w:gridCol w:w="567"/>
        <w:gridCol w:w="567"/>
        <w:gridCol w:w="567"/>
        <w:gridCol w:w="567"/>
        <w:gridCol w:w="567"/>
        <w:gridCol w:w="567"/>
        <w:gridCol w:w="567"/>
      </w:tblGrid>
      <w:tr w:rsidR="005C260A" w:rsidRPr="00302082" w14:paraId="6FAD9799" w14:textId="77777777" w:rsidTr="000B5F78">
        <w:tc>
          <w:tcPr>
            <w:tcW w:w="2439" w:type="dxa"/>
            <w:shd w:val="clear" w:color="auto" w:fill="D9D9D9" w:themeFill="background1" w:themeFillShade="D9"/>
          </w:tcPr>
          <w:p w14:paraId="7C479541" w14:textId="77777777" w:rsidR="005C260A" w:rsidRPr="00302082" w:rsidRDefault="005C260A" w:rsidP="00302082">
            <w:pPr>
              <w:spacing w:after="120"/>
              <w:ind w:left="33"/>
              <w:rPr>
                <w:rFonts w:ascii="Arial" w:hAnsi="Arial" w:cs="Arial"/>
                <w:b/>
              </w:rPr>
            </w:pPr>
            <w:r w:rsidRPr="00302082">
              <w:rPr>
                <w:rFonts w:ascii="Arial" w:hAnsi="Arial" w:cs="Arial"/>
                <w:b/>
              </w:rPr>
              <w:t>Module learning outcome</w:t>
            </w:r>
          </w:p>
        </w:tc>
        <w:tc>
          <w:tcPr>
            <w:tcW w:w="567" w:type="dxa"/>
          </w:tcPr>
          <w:p w14:paraId="6135CC3B" w14:textId="77777777" w:rsidR="005C260A" w:rsidRPr="002302FD" w:rsidRDefault="005C260A" w:rsidP="00302082">
            <w:pPr>
              <w:spacing w:after="120"/>
              <w:rPr>
                <w:rFonts w:ascii="Arial" w:hAnsi="Arial" w:cs="Arial"/>
              </w:rPr>
            </w:pPr>
            <w:r w:rsidRPr="002302FD">
              <w:rPr>
                <w:rFonts w:ascii="Arial" w:hAnsi="Arial" w:cs="Arial"/>
              </w:rPr>
              <w:t>8.1</w:t>
            </w:r>
          </w:p>
        </w:tc>
        <w:tc>
          <w:tcPr>
            <w:tcW w:w="567" w:type="dxa"/>
          </w:tcPr>
          <w:p w14:paraId="67E8E9BE" w14:textId="77777777" w:rsidR="005C260A" w:rsidRPr="002302FD" w:rsidRDefault="005C260A" w:rsidP="00302082">
            <w:pPr>
              <w:spacing w:after="120"/>
              <w:rPr>
                <w:rFonts w:ascii="Arial" w:hAnsi="Arial" w:cs="Arial"/>
              </w:rPr>
            </w:pPr>
            <w:r w:rsidRPr="002302FD">
              <w:rPr>
                <w:rFonts w:ascii="Arial" w:hAnsi="Arial" w:cs="Arial"/>
              </w:rPr>
              <w:t>8.2</w:t>
            </w:r>
          </w:p>
        </w:tc>
        <w:tc>
          <w:tcPr>
            <w:tcW w:w="567" w:type="dxa"/>
          </w:tcPr>
          <w:p w14:paraId="6D5C16F5" w14:textId="77777777" w:rsidR="005C260A" w:rsidRPr="002302FD" w:rsidRDefault="005C260A" w:rsidP="00302082">
            <w:pPr>
              <w:spacing w:after="120"/>
              <w:rPr>
                <w:rFonts w:ascii="Arial" w:hAnsi="Arial" w:cs="Arial"/>
              </w:rPr>
            </w:pPr>
            <w:r w:rsidRPr="002302FD">
              <w:rPr>
                <w:rFonts w:ascii="Arial" w:hAnsi="Arial" w:cs="Arial"/>
              </w:rPr>
              <w:t>8.3</w:t>
            </w:r>
          </w:p>
        </w:tc>
        <w:tc>
          <w:tcPr>
            <w:tcW w:w="567" w:type="dxa"/>
          </w:tcPr>
          <w:p w14:paraId="00E9954A" w14:textId="77777777" w:rsidR="005C260A" w:rsidRPr="002302FD" w:rsidRDefault="005C260A" w:rsidP="00302082">
            <w:pPr>
              <w:spacing w:after="120"/>
              <w:rPr>
                <w:rFonts w:ascii="Arial" w:hAnsi="Arial" w:cs="Arial"/>
              </w:rPr>
            </w:pPr>
            <w:r w:rsidRPr="002302FD">
              <w:rPr>
                <w:rFonts w:ascii="Arial" w:hAnsi="Arial" w:cs="Arial"/>
              </w:rPr>
              <w:t>8.4</w:t>
            </w:r>
          </w:p>
        </w:tc>
        <w:tc>
          <w:tcPr>
            <w:tcW w:w="567" w:type="dxa"/>
          </w:tcPr>
          <w:p w14:paraId="1C10FB19" w14:textId="77777777" w:rsidR="005C260A" w:rsidRPr="002302FD" w:rsidRDefault="005C260A" w:rsidP="00302082">
            <w:pPr>
              <w:spacing w:after="120"/>
              <w:rPr>
                <w:rFonts w:ascii="Arial" w:hAnsi="Arial" w:cs="Arial"/>
              </w:rPr>
            </w:pPr>
            <w:r w:rsidRPr="002302FD">
              <w:rPr>
                <w:rFonts w:ascii="Arial" w:hAnsi="Arial" w:cs="Arial"/>
              </w:rPr>
              <w:t>8.5</w:t>
            </w:r>
          </w:p>
        </w:tc>
        <w:tc>
          <w:tcPr>
            <w:tcW w:w="567" w:type="dxa"/>
          </w:tcPr>
          <w:p w14:paraId="527D9EF0" w14:textId="77777777" w:rsidR="005C260A" w:rsidRPr="002302FD" w:rsidRDefault="005C260A" w:rsidP="00302082">
            <w:pPr>
              <w:spacing w:after="120"/>
              <w:rPr>
                <w:rFonts w:ascii="Arial" w:hAnsi="Arial" w:cs="Arial"/>
              </w:rPr>
            </w:pPr>
            <w:r w:rsidRPr="002302FD">
              <w:rPr>
                <w:rFonts w:ascii="Arial" w:hAnsi="Arial" w:cs="Arial"/>
              </w:rPr>
              <w:t>9.1</w:t>
            </w:r>
          </w:p>
        </w:tc>
        <w:tc>
          <w:tcPr>
            <w:tcW w:w="567" w:type="dxa"/>
          </w:tcPr>
          <w:p w14:paraId="38472CA6" w14:textId="77777777" w:rsidR="005C260A" w:rsidRPr="002302FD" w:rsidRDefault="005C260A" w:rsidP="00302082">
            <w:pPr>
              <w:spacing w:after="120"/>
              <w:rPr>
                <w:rFonts w:ascii="Arial" w:hAnsi="Arial" w:cs="Arial"/>
              </w:rPr>
            </w:pPr>
            <w:r w:rsidRPr="002302FD">
              <w:rPr>
                <w:rFonts w:ascii="Arial" w:hAnsi="Arial" w:cs="Arial"/>
              </w:rPr>
              <w:t>9.2</w:t>
            </w:r>
          </w:p>
        </w:tc>
        <w:tc>
          <w:tcPr>
            <w:tcW w:w="567" w:type="dxa"/>
          </w:tcPr>
          <w:p w14:paraId="1D88BB2B" w14:textId="77777777" w:rsidR="005C260A" w:rsidRPr="002302FD" w:rsidRDefault="005C260A" w:rsidP="00302082">
            <w:pPr>
              <w:spacing w:after="120"/>
              <w:rPr>
                <w:rFonts w:ascii="Arial" w:hAnsi="Arial" w:cs="Arial"/>
              </w:rPr>
            </w:pPr>
            <w:r w:rsidRPr="002302FD">
              <w:rPr>
                <w:rFonts w:ascii="Arial" w:hAnsi="Arial" w:cs="Arial"/>
              </w:rPr>
              <w:t>9.3</w:t>
            </w:r>
          </w:p>
        </w:tc>
        <w:tc>
          <w:tcPr>
            <w:tcW w:w="567" w:type="dxa"/>
          </w:tcPr>
          <w:p w14:paraId="21811273" w14:textId="77777777" w:rsidR="005C260A" w:rsidRPr="002302FD" w:rsidRDefault="005C260A" w:rsidP="00302082">
            <w:pPr>
              <w:spacing w:after="120"/>
              <w:rPr>
                <w:rFonts w:ascii="Arial" w:hAnsi="Arial" w:cs="Arial"/>
              </w:rPr>
            </w:pPr>
            <w:r w:rsidRPr="002302FD">
              <w:rPr>
                <w:rFonts w:ascii="Arial" w:hAnsi="Arial" w:cs="Arial"/>
              </w:rPr>
              <w:t>9.4</w:t>
            </w:r>
          </w:p>
        </w:tc>
      </w:tr>
      <w:tr w:rsidR="005C260A" w:rsidRPr="00302082" w14:paraId="07EAB484" w14:textId="77777777" w:rsidTr="000B5F78">
        <w:tc>
          <w:tcPr>
            <w:tcW w:w="2439" w:type="dxa"/>
            <w:shd w:val="clear" w:color="auto" w:fill="D9D9D9" w:themeFill="background1" w:themeFillShade="D9"/>
          </w:tcPr>
          <w:p w14:paraId="719DAFE8" w14:textId="77777777" w:rsidR="005C260A" w:rsidRPr="00302082" w:rsidRDefault="005C260A" w:rsidP="00302082">
            <w:pPr>
              <w:spacing w:after="120"/>
              <w:rPr>
                <w:rFonts w:ascii="Arial" w:hAnsi="Arial" w:cs="Arial"/>
                <w:b/>
              </w:rPr>
            </w:pPr>
            <w:r w:rsidRPr="00302082">
              <w:rPr>
                <w:rFonts w:ascii="Arial" w:hAnsi="Arial" w:cs="Arial"/>
                <w:b/>
              </w:rPr>
              <w:t>Learning/ teaching method</w:t>
            </w:r>
          </w:p>
        </w:tc>
        <w:tc>
          <w:tcPr>
            <w:tcW w:w="567" w:type="dxa"/>
          </w:tcPr>
          <w:p w14:paraId="497243B4" w14:textId="77777777" w:rsidR="005C260A" w:rsidRPr="00302082" w:rsidRDefault="005C260A" w:rsidP="00302082">
            <w:pPr>
              <w:spacing w:after="120"/>
              <w:rPr>
                <w:rFonts w:ascii="Arial" w:hAnsi="Arial" w:cs="Arial"/>
                <w:b/>
              </w:rPr>
            </w:pPr>
          </w:p>
        </w:tc>
        <w:tc>
          <w:tcPr>
            <w:tcW w:w="567" w:type="dxa"/>
          </w:tcPr>
          <w:p w14:paraId="3F9C23F0" w14:textId="77777777" w:rsidR="005C260A" w:rsidRPr="00302082" w:rsidRDefault="005C260A" w:rsidP="00302082">
            <w:pPr>
              <w:spacing w:after="120"/>
              <w:rPr>
                <w:rFonts w:ascii="Arial" w:hAnsi="Arial" w:cs="Arial"/>
                <w:b/>
              </w:rPr>
            </w:pPr>
          </w:p>
        </w:tc>
        <w:tc>
          <w:tcPr>
            <w:tcW w:w="567" w:type="dxa"/>
          </w:tcPr>
          <w:p w14:paraId="641B75F8" w14:textId="77777777" w:rsidR="005C260A" w:rsidRPr="00302082" w:rsidRDefault="005C260A" w:rsidP="00302082">
            <w:pPr>
              <w:spacing w:after="120"/>
              <w:rPr>
                <w:rFonts w:ascii="Arial" w:hAnsi="Arial" w:cs="Arial"/>
                <w:b/>
              </w:rPr>
            </w:pPr>
          </w:p>
        </w:tc>
        <w:tc>
          <w:tcPr>
            <w:tcW w:w="567" w:type="dxa"/>
          </w:tcPr>
          <w:p w14:paraId="0C898563" w14:textId="77777777" w:rsidR="005C260A" w:rsidRPr="00302082" w:rsidRDefault="005C260A" w:rsidP="00302082">
            <w:pPr>
              <w:spacing w:after="120"/>
              <w:rPr>
                <w:rFonts w:ascii="Arial" w:hAnsi="Arial" w:cs="Arial"/>
                <w:b/>
              </w:rPr>
            </w:pPr>
          </w:p>
        </w:tc>
        <w:tc>
          <w:tcPr>
            <w:tcW w:w="567" w:type="dxa"/>
          </w:tcPr>
          <w:p w14:paraId="12CED5B9" w14:textId="77777777" w:rsidR="005C260A" w:rsidRPr="00302082" w:rsidRDefault="005C260A" w:rsidP="00302082">
            <w:pPr>
              <w:spacing w:after="120"/>
              <w:rPr>
                <w:rFonts w:ascii="Arial" w:hAnsi="Arial" w:cs="Arial"/>
                <w:b/>
              </w:rPr>
            </w:pPr>
          </w:p>
        </w:tc>
        <w:tc>
          <w:tcPr>
            <w:tcW w:w="567" w:type="dxa"/>
          </w:tcPr>
          <w:p w14:paraId="23E9DADF" w14:textId="77777777" w:rsidR="005C260A" w:rsidRPr="00302082" w:rsidRDefault="005C260A" w:rsidP="00302082">
            <w:pPr>
              <w:spacing w:after="120"/>
              <w:rPr>
                <w:rFonts w:ascii="Arial" w:hAnsi="Arial" w:cs="Arial"/>
                <w:b/>
              </w:rPr>
            </w:pPr>
          </w:p>
        </w:tc>
        <w:tc>
          <w:tcPr>
            <w:tcW w:w="567" w:type="dxa"/>
          </w:tcPr>
          <w:p w14:paraId="5D7E6D7C" w14:textId="77777777" w:rsidR="005C260A" w:rsidRPr="00302082" w:rsidRDefault="005C260A" w:rsidP="00302082">
            <w:pPr>
              <w:spacing w:after="120"/>
              <w:rPr>
                <w:rFonts w:ascii="Arial" w:hAnsi="Arial" w:cs="Arial"/>
                <w:b/>
              </w:rPr>
            </w:pPr>
          </w:p>
        </w:tc>
        <w:tc>
          <w:tcPr>
            <w:tcW w:w="567" w:type="dxa"/>
          </w:tcPr>
          <w:p w14:paraId="563B0B08" w14:textId="77777777" w:rsidR="005C260A" w:rsidRPr="00302082" w:rsidRDefault="005C260A" w:rsidP="00302082">
            <w:pPr>
              <w:spacing w:after="120"/>
              <w:rPr>
                <w:rFonts w:ascii="Arial" w:hAnsi="Arial" w:cs="Arial"/>
                <w:b/>
              </w:rPr>
            </w:pPr>
          </w:p>
        </w:tc>
        <w:tc>
          <w:tcPr>
            <w:tcW w:w="567" w:type="dxa"/>
          </w:tcPr>
          <w:p w14:paraId="32231BB5" w14:textId="77777777" w:rsidR="005C260A" w:rsidRPr="00302082" w:rsidRDefault="005C260A" w:rsidP="00302082">
            <w:pPr>
              <w:spacing w:after="120"/>
              <w:rPr>
                <w:rFonts w:ascii="Arial" w:hAnsi="Arial" w:cs="Arial"/>
                <w:b/>
              </w:rPr>
            </w:pPr>
          </w:p>
        </w:tc>
      </w:tr>
      <w:tr w:rsidR="005C260A" w:rsidRPr="00302082" w14:paraId="31943872" w14:textId="77777777" w:rsidTr="000B5F78">
        <w:tc>
          <w:tcPr>
            <w:tcW w:w="2439" w:type="dxa"/>
          </w:tcPr>
          <w:p w14:paraId="521BE38D" w14:textId="77777777" w:rsidR="005C260A" w:rsidRPr="000B5F78" w:rsidRDefault="005C260A" w:rsidP="00302082">
            <w:pPr>
              <w:spacing w:after="120"/>
              <w:rPr>
                <w:rFonts w:ascii="Arial" w:hAnsi="Arial" w:cs="Arial"/>
              </w:rPr>
            </w:pPr>
            <w:r w:rsidRPr="000B5F78">
              <w:rPr>
                <w:rFonts w:ascii="Arial" w:hAnsi="Arial" w:cs="Arial"/>
              </w:rPr>
              <w:t>Private Study</w:t>
            </w:r>
          </w:p>
        </w:tc>
        <w:tc>
          <w:tcPr>
            <w:tcW w:w="567" w:type="dxa"/>
          </w:tcPr>
          <w:p w14:paraId="12F56986"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6BDDF03A"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3C55C3E7"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41493EDF"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31FDD591"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71F6EC5F"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28D6EA68"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57EB4EDA"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793CEE70" w14:textId="77777777" w:rsidR="005C260A" w:rsidRPr="00302082" w:rsidRDefault="005C260A" w:rsidP="00302082">
            <w:pPr>
              <w:spacing w:after="120"/>
              <w:rPr>
                <w:rFonts w:ascii="Arial" w:hAnsi="Arial" w:cs="Arial"/>
                <w:b/>
              </w:rPr>
            </w:pPr>
            <w:r>
              <w:rPr>
                <w:rFonts w:ascii="Arial" w:hAnsi="Arial" w:cs="Arial"/>
                <w:b/>
              </w:rPr>
              <w:t>x</w:t>
            </w:r>
          </w:p>
        </w:tc>
      </w:tr>
      <w:tr w:rsidR="005C260A" w:rsidRPr="00302082" w14:paraId="715C4D12" w14:textId="77777777" w:rsidTr="000B5F78">
        <w:tc>
          <w:tcPr>
            <w:tcW w:w="2439" w:type="dxa"/>
          </w:tcPr>
          <w:p w14:paraId="1E464DB3" w14:textId="77777777" w:rsidR="005C260A" w:rsidRPr="00A376E2" w:rsidRDefault="005C260A" w:rsidP="00302082">
            <w:pPr>
              <w:spacing w:after="120"/>
              <w:rPr>
                <w:rFonts w:ascii="Arial" w:hAnsi="Arial" w:cs="Arial"/>
              </w:rPr>
            </w:pPr>
            <w:r w:rsidRPr="000B5F78">
              <w:rPr>
                <w:rFonts w:ascii="Arial" w:hAnsi="Arial" w:cs="Arial"/>
              </w:rPr>
              <w:t>Seminars</w:t>
            </w:r>
          </w:p>
        </w:tc>
        <w:tc>
          <w:tcPr>
            <w:tcW w:w="567" w:type="dxa"/>
          </w:tcPr>
          <w:p w14:paraId="0A1F8F2B"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77C40E81"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376D594F"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7907FBA5"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424DE1E0"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40DF2ECF"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4D138C45"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01F92171"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4D848E84" w14:textId="77777777" w:rsidR="005C260A" w:rsidRPr="00302082" w:rsidRDefault="005C260A" w:rsidP="00302082">
            <w:pPr>
              <w:spacing w:after="120"/>
              <w:rPr>
                <w:rFonts w:ascii="Arial" w:hAnsi="Arial" w:cs="Arial"/>
                <w:b/>
              </w:rPr>
            </w:pPr>
            <w:r>
              <w:rPr>
                <w:rFonts w:ascii="Arial" w:hAnsi="Arial" w:cs="Arial"/>
                <w:b/>
              </w:rPr>
              <w:t>x</w:t>
            </w:r>
          </w:p>
        </w:tc>
      </w:tr>
      <w:tr w:rsidR="005C260A" w:rsidRPr="00302082" w14:paraId="309C2CDD" w14:textId="77777777" w:rsidTr="000B5F78">
        <w:tc>
          <w:tcPr>
            <w:tcW w:w="2439" w:type="dxa"/>
          </w:tcPr>
          <w:p w14:paraId="7D05AAB0" w14:textId="77777777" w:rsidR="005C260A" w:rsidRPr="00A376E2" w:rsidRDefault="005C260A" w:rsidP="00302082">
            <w:pPr>
              <w:spacing w:after="120"/>
              <w:rPr>
                <w:rFonts w:ascii="Arial" w:hAnsi="Arial" w:cs="Arial"/>
              </w:rPr>
            </w:pPr>
            <w:r w:rsidRPr="00A376E2">
              <w:rPr>
                <w:rFonts w:ascii="Arial" w:hAnsi="Arial" w:cs="Arial"/>
              </w:rPr>
              <w:t>Lectures</w:t>
            </w:r>
          </w:p>
        </w:tc>
        <w:tc>
          <w:tcPr>
            <w:tcW w:w="567" w:type="dxa"/>
          </w:tcPr>
          <w:p w14:paraId="5D722B94"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7FFEC087"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6B2CED3B"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3595E9BE"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5334FADC"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3288A5C9"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3F4CDE05"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02EE4308"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098E3BE3" w14:textId="77777777" w:rsidR="005C260A" w:rsidRPr="00302082" w:rsidRDefault="005C260A" w:rsidP="00302082">
            <w:pPr>
              <w:spacing w:after="120"/>
              <w:rPr>
                <w:rFonts w:ascii="Arial" w:hAnsi="Arial" w:cs="Arial"/>
                <w:b/>
              </w:rPr>
            </w:pPr>
            <w:r>
              <w:rPr>
                <w:rFonts w:ascii="Arial" w:hAnsi="Arial" w:cs="Arial"/>
                <w:b/>
              </w:rPr>
              <w:t>x</w:t>
            </w:r>
          </w:p>
        </w:tc>
      </w:tr>
      <w:tr w:rsidR="005C260A" w:rsidRPr="00302082" w14:paraId="13C22EB2" w14:textId="77777777" w:rsidTr="000B5F78">
        <w:tc>
          <w:tcPr>
            <w:tcW w:w="2439" w:type="dxa"/>
            <w:shd w:val="clear" w:color="auto" w:fill="D9D9D9" w:themeFill="background1" w:themeFillShade="D9"/>
          </w:tcPr>
          <w:p w14:paraId="2EB6E33C" w14:textId="77777777" w:rsidR="005C260A" w:rsidRPr="00302082" w:rsidRDefault="005C260A" w:rsidP="00302082">
            <w:pPr>
              <w:spacing w:after="120"/>
              <w:rPr>
                <w:rFonts w:ascii="Arial" w:hAnsi="Arial" w:cs="Arial"/>
                <w:b/>
              </w:rPr>
            </w:pPr>
            <w:r w:rsidRPr="00302082">
              <w:rPr>
                <w:rFonts w:ascii="Arial" w:hAnsi="Arial" w:cs="Arial"/>
                <w:b/>
              </w:rPr>
              <w:t>Assessment method</w:t>
            </w:r>
          </w:p>
        </w:tc>
        <w:tc>
          <w:tcPr>
            <w:tcW w:w="567" w:type="dxa"/>
          </w:tcPr>
          <w:p w14:paraId="39384A4A" w14:textId="77777777" w:rsidR="005C260A" w:rsidRPr="00302082" w:rsidRDefault="005C260A" w:rsidP="00302082">
            <w:pPr>
              <w:spacing w:after="120"/>
              <w:rPr>
                <w:rFonts w:ascii="Arial" w:hAnsi="Arial" w:cs="Arial"/>
                <w:b/>
              </w:rPr>
            </w:pPr>
          </w:p>
        </w:tc>
        <w:tc>
          <w:tcPr>
            <w:tcW w:w="567" w:type="dxa"/>
          </w:tcPr>
          <w:p w14:paraId="3F86DC63" w14:textId="77777777" w:rsidR="005C260A" w:rsidRPr="00302082" w:rsidRDefault="005C260A" w:rsidP="00302082">
            <w:pPr>
              <w:spacing w:after="120"/>
              <w:rPr>
                <w:rFonts w:ascii="Arial" w:hAnsi="Arial" w:cs="Arial"/>
                <w:b/>
              </w:rPr>
            </w:pPr>
          </w:p>
        </w:tc>
        <w:tc>
          <w:tcPr>
            <w:tcW w:w="567" w:type="dxa"/>
          </w:tcPr>
          <w:p w14:paraId="33C1A432" w14:textId="77777777" w:rsidR="005C260A" w:rsidRPr="00302082" w:rsidRDefault="005C260A" w:rsidP="00302082">
            <w:pPr>
              <w:spacing w:after="120"/>
              <w:rPr>
                <w:rFonts w:ascii="Arial" w:hAnsi="Arial" w:cs="Arial"/>
                <w:b/>
              </w:rPr>
            </w:pPr>
          </w:p>
        </w:tc>
        <w:tc>
          <w:tcPr>
            <w:tcW w:w="567" w:type="dxa"/>
          </w:tcPr>
          <w:p w14:paraId="26C4F106" w14:textId="77777777" w:rsidR="005C260A" w:rsidRPr="00302082" w:rsidRDefault="005C260A" w:rsidP="00302082">
            <w:pPr>
              <w:spacing w:after="120"/>
              <w:rPr>
                <w:rFonts w:ascii="Arial" w:hAnsi="Arial" w:cs="Arial"/>
                <w:b/>
              </w:rPr>
            </w:pPr>
          </w:p>
        </w:tc>
        <w:tc>
          <w:tcPr>
            <w:tcW w:w="567" w:type="dxa"/>
          </w:tcPr>
          <w:p w14:paraId="6C5F4B5E" w14:textId="77777777" w:rsidR="005C260A" w:rsidRPr="00302082" w:rsidRDefault="005C260A" w:rsidP="00302082">
            <w:pPr>
              <w:spacing w:after="120"/>
              <w:rPr>
                <w:rFonts w:ascii="Arial" w:hAnsi="Arial" w:cs="Arial"/>
                <w:b/>
              </w:rPr>
            </w:pPr>
          </w:p>
        </w:tc>
        <w:tc>
          <w:tcPr>
            <w:tcW w:w="567" w:type="dxa"/>
          </w:tcPr>
          <w:p w14:paraId="1EDB4D56" w14:textId="77777777" w:rsidR="005C260A" w:rsidRPr="00302082" w:rsidRDefault="005C260A" w:rsidP="00302082">
            <w:pPr>
              <w:spacing w:after="120"/>
              <w:rPr>
                <w:rFonts w:ascii="Arial" w:hAnsi="Arial" w:cs="Arial"/>
                <w:b/>
              </w:rPr>
            </w:pPr>
          </w:p>
        </w:tc>
        <w:tc>
          <w:tcPr>
            <w:tcW w:w="567" w:type="dxa"/>
          </w:tcPr>
          <w:p w14:paraId="5E329D34" w14:textId="77777777" w:rsidR="005C260A" w:rsidRPr="00302082" w:rsidRDefault="005C260A" w:rsidP="00302082">
            <w:pPr>
              <w:spacing w:after="120"/>
              <w:rPr>
                <w:rFonts w:ascii="Arial" w:hAnsi="Arial" w:cs="Arial"/>
                <w:b/>
              </w:rPr>
            </w:pPr>
          </w:p>
        </w:tc>
        <w:tc>
          <w:tcPr>
            <w:tcW w:w="567" w:type="dxa"/>
          </w:tcPr>
          <w:p w14:paraId="56C5C03C" w14:textId="77777777" w:rsidR="005C260A" w:rsidRPr="00302082" w:rsidRDefault="005C260A" w:rsidP="00302082">
            <w:pPr>
              <w:spacing w:after="120"/>
              <w:rPr>
                <w:rFonts w:ascii="Arial" w:hAnsi="Arial" w:cs="Arial"/>
                <w:b/>
              </w:rPr>
            </w:pPr>
          </w:p>
        </w:tc>
        <w:tc>
          <w:tcPr>
            <w:tcW w:w="567" w:type="dxa"/>
          </w:tcPr>
          <w:p w14:paraId="7B6CB0A9" w14:textId="77777777" w:rsidR="005C260A" w:rsidRPr="00302082" w:rsidRDefault="005C260A" w:rsidP="00302082">
            <w:pPr>
              <w:spacing w:after="120"/>
              <w:rPr>
                <w:rFonts w:ascii="Arial" w:hAnsi="Arial" w:cs="Arial"/>
                <w:b/>
              </w:rPr>
            </w:pPr>
          </w:p>
        </w:tc>
      </w:tr>
      <w:tr w:rsidR="005C260A" w:rsidRPr="00302082" w14:paraId="7C24735C" w14:textId="77777777" w:rsidTr="000B5F78">
        <w:tc>
          <w:tcPr>
            <w:tcW w:w="2439" w:type="dxa"/>
          </w:tcPr>
          <w:p w14:paraId="1B861A57" w14:textId="77777777" w:rsidR="005C260A" w:rsidRPr="00154D48" w:rsidRDefault="005C260A" w:rsidP="00302082">
            <w:pPr>
              <w:spacing w:after="120"/>
              <w:rPr>
                <w:rFonts w:ascii="Arial" w:hAnsi="Arial" w:cs="Arial"/>
              </w:rPr>
            </w:pPr>
            <w:r>
              <w:rPr>
                <w:rFonts w:ascii="Arial" w:hAnsi="Arial" w:cs="Arial"/>
              </w:rPr>
              <w:t>Coursework Essays</w:t>
            </w:r>
          </w:p>
        </w:tc>
        <w:tc>
          <w:tcPr>
            <w:tcW w:w="567" w:type="dxa"/>
          </w:tcPr>
          <w:p w14:paraId="02AD2D83"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48B7AD04"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497555A9"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356411C2"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5B09FF64"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299776D9"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32B71C4E"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35C59C07" w14:textId="77777777" w:rsidR="005C260A" w:rsidRPr="00302082" w:rsidRDefault="005C260A" w:rsidP="00302082">
            <w:pPr>
              <w:spacing w:after="120"/>
              <w:rPr>
                <w:rFonts w:ascii="Arial" w:hAnsi="Arial" w:cs="Arial"/>
                <w:b/>
              </w:rPr>
            </w:pPr>
          </w:p>
        </w:tc>
        <w:tc>
          <w:tcPr>
            <w:tcW w:w="567" w:type="dxa"/>
          </w:tcPr>
          <w:p w14:paraId="78FF7B27" w14:textId="77777777" w:rsidR="005C260A" w:rsidRPr="00302082" w:rsidRDefault="005C260A" w:rsidP="00302082">
            <w:pPr>
              <w:spacing w:after="120"/>
              <w:rPr>
                <w:rFonts w:ascii="Arial" w:hAnsi="Arial" w:cs="Arial"/>
                <w:b/>
              </w:rPr>
            </w:pPr>
            <w:r>
              <w:rPr>
                <w:rFonts w:ascii="Arial" w:hAnsi="Arial" w:cs="Arial"/>
                <w:b/>
              </w:rPr>
              <w:t>x</w:t>
            </w:r>
          </w:p>
        </w:tc>
      </w:tr>
      <w:tr w:rsidR="005C260A" w:rsidRPr="00302082" w14:paraId="212BBDD9" w14:textId="77777777" w:rsidTr="000B5F78">
        <w:tc>
          <w:tcPr>
            <w:tcW w:w="2439" w:type="dxa"/>
          </w:tcPr>
          <w:p w14:paraId="1D6A9BB7" w14:textId="77777777" w:rsidR="005C260A" w:rsidRPr="00154D48" w:rsidRDefault="005C260A" w:rsidP="00154D48">
            <w:pPr>
              <w:spacing w:after="120"/>
              <w:rPr>
                <w:rFonts w:ascii="Arial" w:hAnsi="Arial" w:cs="Arial"/>
              </w:rPr>
            </w:pPr>
            <w:r>
              <w:rPr>
                <w:rFonts w:ascii="Arial" w:hAnsi="Arial" w:cs="Arial"/>
              </w:rPr>
              <w:t>Seminar Performance</w:t>
            </w:r>
          </w:p>
        </w:tc>
        <w:tc>
          <w:tcPr>
            <w:tcW w:w="567" w:type="dxa"/>
          </w:tcPr>
          <w:p w14:paraId="1DE488BC"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635E5230"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3483D6A0"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40CD9423"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29B8DEA7"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344281A3"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7674234D"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607B400D" w14:textId="77777777" w:rsidR="005C260A" w:rsidRPr="00302082" w:rsidRDefault="005C260A" w:rsidP="00302082">
            <w:pPr>
              <w:spacing w:after="120"/>
              <w:rPr>
                <w:rFonts w:ascii="Arial" w:hAnsi="Arial" w:cs="Arial"/>
                <w:b/>
              </w:rPr>
            </w:pPr>
            <w:r>
              <w:rPr>
                <w:rFonts w:ascii="Arial" w:hAnsi="Arial" w:cs="Arial"/>
                <w:b/>
              </w:rPr>
              <w:t>x</w:t>
            </w:r>
          </w:p>
        </w:tc>
        <w:tc>
          <w:tcPr>
            <w:tcW w:w="567" w:type="dxa"/>
          </w:tcPr>
          <w:p w14:paraId="73550EF5" w14:textId="77777777" w:rsidR="005C260A" w:rsidRPr="00302082" w:rsidRDefault="005C260A" w:rsidP="00302082">
            <w:pPr>
              <w:spacing w:after="120"/>
              <w:rPr>
                <w:rFonts w:ascii="Arial" w:hAnsi="Arial" w:cs="Arial"/>
                <w:b/>
              </w:rPr>
            </w:pPr>
            <w:r>
              <w:rPr>
                <w:rFonts w:ascii="Arial" w:hAnsi="Arial" w:cs="Arial"/>
                <w:b/>
              </w:rPr>
              <w:t>x</w:t>
            </w:r>
          </w:p>
        </w:tc>
      </w:tr>
    </w:tbl>
    <w:p w14:paraId="58267DAD" w14:textId="77777777" w:rsidR="007A6245" w:rsidRDefault="007A6245" w:rsidP="00302082">
      <w:pPr>
        <w:spacing w:after="120" w:line="240" w:lineRule="auto"/>
        <w:ind w:left="426" w:right="260"/>
        <w:rPr>
          <w:rFonts w:ascii="Arial" w:hAnsi="Arial" w:cs="Arial"/>
          <w:b/>
          <w:iCs/>
        </w:rPr>
      </w:pPr>
    </w:p>
    <w:p w14:paraId="57B02C77" w14:textId="77777777" w:rsidR="00883204" w:rsidRPr="00D50113" w:rsidRDefault="00883204" w:rsidP="00696FF5">
      <w:pPr>
        <w:numPr>
          <w:ilvl w:val="0"/>
          <w:numId w:val="1"/>
        </w:numPr>
        <w:spacing w:after="120" w:line="240" w:lineRule="auto"/>
        <w:ind w:left="567" w:right="260" w:hanging="567"/>
        <w:jc w:val="both"/>
        <w:rPr>
          <w:rFonts w:ascii="Arial" w:hAnsi="Arial" w:cs="Arial"/>
          <w:iCs/>
        </w:rPr>
      </w:pPr>
      <w:r>
        <w:rPr>
          <w:rFonts w:ascii="Arial" w:hAnsi="Arial" w:cs="Arial"/>
          <w:b/>
          <w:bCs/>
        </w:rPr>
        <w:t>Inclusive m</w:t>
      </w:r>
      <w:r w:rsidRPr="00D50113">
        <w:rPr>
          <w:rFonts w:ascii="Arial" w:hAnsi="Arial" w:cs="Arial"/>
          <w:b/>
          <w:bCs/>
        </w:rPr>
        <w:t xml:space="preserve">odule </w:t>
      </w:r>
      <w:r>
        <w:rPr>
          <w:rFonts w:ascii="Arial" w:hAnsi="Arial" w:cs="Arial"/>
          <w:b/>
          <w:bCs/>
        </w:rPr>
        <w:t>d</w:t>
      </w:r>
      <w:r w:rsidRPr="00D50113">
        <w:rPr>
          <w:rFonts w:ascii="Arial" w:hAnsi="Arial" w:cs="Arial"/>
          <w:b/>
          <w:bCs/>
        </w:rPr>
        <w:t xml:space="preserve">esign </w:t>
      </w:r>
    </w:p>
    <w:p w14:paraId="1CA6AA2C" w14:textId="47685606" w:rsidR="00883204" w:rsidRPr="00D50113" w:rsidRDefault="00883204" w:rsidP="00696FF5">
      <w:pPr>
        <w:autoSpaceDE w:val="0"/>
        <w:autoSpaceDN w:val="0"/>
        <w:adjustRightInd w:val="0"/>
        <w:spacing w:after="120" w:line="240" w:lineRule="auto"/>
        <w:ind w:left="567" w:right="260"/>
        <w:jc w:val="both"/>
        <w:rPr>
          <w:rFonts w:ascii="Arial" w:hAnsi="Arial" w:cs="Arial"/>
        </w:rPr>
      </w:pPr>
      <w:r w:rsidRPr="00D50113">
        <w:rPr>
          <w:rFonts w:ascii="Arial" w:hAnsi="Arial" w:cs="Arial"/>
        </w:rPr>
        <w:t>The Schoolrecognises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40DB24C3" w14:textId="77777777" w:rsidR="00883204" w:rsidRPr="00D50113" w:rsidRDefault="00883204" w:rsidP="00696FF5">
      <w:pPr>
        <w:autoSpaceDE w:val="0"/>
        <w:autoSpaceDN w:val="0"/>
        <w:adjustRightInd w:val="0"/>
        <w:spacing w:after="120" w:line="240" w:lineRule="auto"/>
        <w:ind w:left="567" w:right="260"/>
        <w:jc w:val="both"/>
        <w:rPr>
          <w:rFonts w:ascii="Arial" w:hAnsi="Arial" w:cs="Arial"/>
        </w:rPr>
      </w:pPr>
      <w:r w:rsidRPr="00D50113">
        <w:rPr>
          <w:rFonts w:ascii="Arial" w:hAnsi="Arial" w:cs="Arial"/>
        </w:rPr>
        <w:t xml:space="preserve">The inclusive practices in the guidance (see </w:t>
      </w:r>
      <w:r>
        <w:rPr>
          <w:rFonts w:ascii="Arial" w:hAnsi="Arial" w:cs="Arial"/>
        </w:rPr>
        <w:t xml:space="preserve">Annex B </w:t>
      </w:r>
      <w:r w:rsidRPr="00D50113">
        <w:rPr>
          <w:rFonts w:ascii="Arial" w:hAnsi="Arial" w:cs="Arial"/>
        </w:rPr>
        <w:t>Appendix</w:t>
      </w:r>
      <w:r>
        <w:rPr>
          <w:rFonts w:ascii="Arial" w:hAnsi="Arial" w:cs="Arial"/>
        </w:rPr>
        <w:t xml:space="preserve"> A</w:t>
      </w:r>
      <w:r w:rsidRPr="00D50113">
        <w:rPr>
          <w:rFonts w:ascii="Arial" w:hAnsi="Arial" w:cs="Arial"/>
        </w:rPr>
        <w:t>) have been considered in order to support all students in the following areas:</w:t>
      </w:r>
    </w:p>
    <w:p w14:paraId="321E3152" w14:textId="77777777" w:rsidR="00883204" w:rsidRPr="00D50113" w:rsidRDefault="00883204" w:rsidP="00696FF5">
      <w:pPr>
        <w:autoSpaceDE w:val="0"/>
        <w:autoSpaceDN w:val="0"/>
        <w:adjustRightInd w:val="0"/>
        <w:spacing w:after="120" w:line="240" w:lineRule="auto"/>
        <w:ind w:left="567" w:right="260"/>
        <w:jc w:val="both"/>
        <w:rPr>
          <w:rFonts w:ascii="Arial" w:hAnsi="Arial" w:cs="Arial"/>
          <w:bCs/>
        </w:rPr>
      </w:pPr>
      <w:r w:rsidRPr="00D50113">
        <w:rPr>
          <w:rFonts w:ascii="Arial" w:hAnsi="Arial" w:cs="Arial"/>
        </w:rPr>
        <w:t xml:space="preserve">a) </w:t>
      </w:r>
      <w:r w:rsidRPr="00D50113">
        <w:rPr>
          <w:rFonts w:ascii="Arial" w:hAnsi="Arial" w:cs="Arial"/>
          <w:bCs/>
        </w:rPr>
        <w:t>Accessible resources and curriculum</w:t>
      </w:r>
    </w:p>
    <w:p w14:paraId="4B56E085" w14:textId="77777777" w:rsidR="00883204" w:rsidRPr="00D50113" w:rsidRDefault="00883204" w:rsidP="00696FF5">
      <w:pPr>
        <w:tabs>
          <w:tab w:val="left" w:pos="567"/>
        </w:tabs>
        <w:autoSpaceDE w:val="0"/>
        <w:autoSpaceDN w:val="0"/>
        <w:adjustRightInd w:val="0"/>
        <w:spacing w:after="120" w:line="240" w:lineRule="auto"/>
        <w:ind w:left="567" w:right="260"/>
        <w:jc w:val="both"/>
        <w:rPr>
          <w:rFonts w:ascii="Arial" w:hAnsi="Arial" w:cs="Arial"/>
          <w:color w:val="000000"/>
        </w:rPr>
      </w:pPr>
      <w:r w:rsidRPr="00D50113">
        <w:rPr>
          <w:rFonts w:ascii="Arial" w:hAnsi="Arial" w:cs="Arial"/>
        </w:rPr>
        <w:t xml:space="preserve">b) </w:t>
      </w:r>
      <w:r w:rsidRPr="00D50113">
        <w:rPr>
          <w:rFonts w:ascii="Arial" w:hAnsi="Arial" w:cs="Arial"/>
          <w:bCs/>
        </w:rPr>
        <w:t>Learning</w:t>
      </w:r>
      <w:r w:rsidR="00BB2045">
        <w:rPr>
          <w:rFonts w:ascii="Arial" w:hAnsi="Arial" w:cs="Arial"/>
          <w:bCs/>
        </w:rPr>
        <w:t>,</w:t>
      </w:r>
      <w:r w:rsidRPr="00D50113">
        <w:rPr>
          <w:rFonts w:ascii="Arial" w:hAnsi="Arial" w:cs="Arial"/>
          <w:bCs/>
        </w:rPr>
        <w:t xml:space="preserve"> teaching and assessment methods</w:t>
      </w:r>
    </w:p>
    <w:p w14:paraId="5EF01DF7" w14:textId="77777777" w:rsidR="00883204" w:rsidRDefault="00883204" w:rsidP="00696FF5">
      <w:pPr>
        <w:spacing w:after="120" w:line="240" w:lineRule="auto"/>
        <w:ind w:left="567" w:right="260"/>
        <w:rPr>
          <w:rFonts w:ascii="Arial" w:hAnsi="Arial" w:cs="Arial"/>
          <w:i/>
          <w:iCs/>
        </w:rPr>
      </w:pPr>
    </w:p>
    <w:p w14:paraId="3CBA69CB" w14:textId="77777777" w:rsidR="00096DA4" w:rsidRPr="00302082" w:rsidRDefault="00096DA4" w:rsidP="00302082">
      <w:pPr>
        <w:spacing w:after="120" w:line="240" w:lineRule="auto"/>
        <w:ind w:left="426" w:right="260"/>
        <w:rPr>
          <w:rFonts w:ascii="Arial" w:hAnsi="Arial" w:cs="Arial"/>
          <w:i/>
          <w:iCs/>
        </w:rPr>
      </w:pPr>
    </w:p>
    <w:p w14:paraId="56795B26" w14:textId="77777777" w:rsidR="009A2D37" w:rsidRPr="00302082" w:rsidRDefault="00883204" w:rsidP="00696FF5">
      <w:pPr>
        <w:numPr>
          <w:ilvl w:val="0"/>
          <w:numId w:val="1"/>
        </w:numPr>
        <w:spacing w:after="120" w:line="240" w:lineRule="auto"/>
        <w:ind w:left="567" w:right="260" w:hanging="567"/>
        <w:jc w:val="both"/>
        <w:rPr>
          <w:rFonts w:ascii="Arial" w:hAnsi="Arial" w:cs="Arial"/>
          <w:b/>
        </w:rPr>
      </w:pPr>
      <w:r>
        <w:rPr>
          <w:rFonts w:ascii="Arial" w:hAnsi="Arial" w:cs="Arial"/>
          <w:b/>
        </w:rPr>
        <w:t>Campus(es) or c</w:t>
      </w:r>
      <w:r w:rsidR="009A2D37" w:rsidRPr="00302082">
        <w:rPr>
          <w:rFonts w:ascii="Arial" w:hAnsi="Arial" w:cs="Arial"/>
          <w:b/>
        </w:rPr>
        <w:t>entre(s)</w:t>
      </w:r>
      <w:r>
        <w:rPr>
          <w:rFonts w:ascii="Arial" w:hAnsi="Arial" w:cs="Arial"/>
          <w:b/>
        </w:rPr>
        <w:t xml:space="preserve"> where module will be delivered</w:t>
      </w:r>
    </w:p>
    <w:p w14:paraId="08AAA8CF" w14:textId="77777777" w:rsidR="009A2D37" w:rsidRPr="00154D48" w:rsidRDefault="00945381" w:rsidP="00154D48">
      <w:pPr>
        <w:spacing w:after="120" w:line="240" w:lineRule="auto"/>
        <w:ind w:left="567" w:right="260"/>
        <w:rPr>
          <w:rFonts w:ascii="Arial" w:hAnsi="Arial" w:cs="Arial"/>
        </w:rPr>
      </w:pPr>
      <w:r w:rsidRPr="00945381">
        <w:rPr>
          <w:rFonts w:ascii="Arial" w:hAnsi="Arial" w:cs="Arial"/>
        </w:rPr>
        <w:t>Canterbury</w:t>
      </w:r>
    </w:p>
    <w:p w14:paraId="161AC52C" w14:textId="77777777" w:rsidR="00154D48" w:rsidRPr="00154D48" w:rsidRDefault="00154D48" w:rsidP="00154D48">
      <w:pPr>
        <w:spacing w:after="120" w:line="240" w:lineRule="auto"/>
        <w:ind w:left="567" w:right="260"/>
        <w:rPr>
          <w:rFonts w:ascii="Arial" w:hAnsi="Arial" w:cs="Arial"/>
          <w:iCs/>
        </w:rPr>
      </w:pPr>
    </w:p>
    <w:p w14:paraId="1C0AF6C3" w14:textId="77777777" w:rsidR="00883204" w:rsidRDefault="00883204" w:rsidP="00696FF5">
      <w:pPr>
        <w:numPr>
          <w:ilvl w:val="0"/>
          <w:numId w:val="1"/>
        </w:numPr>
        <w:spacing w:after="120" w:line="240" w:lineRule="auto"/>
        <w:ind w:left="567" w:right="261" w:hanging="568"/>
        <w:jc w:val="both"/>
        <w:rPr>
          <w:rFonts w:ascii="Arial" w:hAnsi="Arial" w:cs="Arial"/>
          <w:b/>
        </w:rPr>
      </w:pPr>
      <w:r w:rsidRPr="002A7F48">
        <w:rPr>
          <w:rFonts w:ascii="Arial" w:hAnsi="Arial" w:cs="Arial"/>
          <w:b/>
        </w:rPr>
        <w:t xml:space="preserve">Internationalisation </w:t>
      </w:r>
    </w:p>
    <w:p w14:paraId="6BA95F25" w14:textId="77777777" w:rsidR="00F11310" w:rsidRPr="002A7F48" w:rsidRDefault="00F11310" w:rsidP="00F11310">
      <w:pPr>
        <w:spacing w:after="120" w:line="240" w:lineRule="auto"/>
        <w:ind w:left="567" w:right="261"/>
        <w:jc w:val="both"/>
        <w:rPr>
          <w:rFonts w:ascii="Arial" w:hAnsi="Arial" w:cs="Arial"/>
          <w:b/>
        </w:rPr>
      </w:pPr>
      <w:r>
        <w:rPr>
          <w:rFonts w:ascii="Arial" w:hAnsi="Arial" w:cs="Arial"/>
          <w:b/>
        </w:rPr>
        <w:t>This module is international by virtue of its topic. Students from a range of nationalities and backgrounds are being asked to consider the particular context of the United States’ engagement with realism in relation to a broader transnational exchange of people and ideas in the period.</w:t>
      </w:r>
    </w:p>
    <w:p w14:paraId="5BB3F325" w14:textId="77777777" w:rsidR="00922E9E" w:rsidRPr="00154D48" w:rsidRDefault="00922E9E" w:rsidP="00154D48">
      <w:pPr>
        <w:spacing w:after="120" w:line="240" w:lineRule="auto"/>
        <w:ind w:left="567" w:right="260"/>
        <w:rPr>
          <w:rFonts w:ascii="Arial" w:hAnsi="Arial" w:cs="Arial"/>
          <w:iCs/>
        </w:rPr>
      </w:pPr>
    </w:p>
    <w:p w14:paraId="2183B114" w14:textId="77777777" w:rsidR="00154D48" w:rsidRPr="00154D48" w:rsidRDefault="00154D48" w:rsidP="00154D48">
      <w:pPr>
        <w:spacing w:after="120" w:line="240" w:lineRule="auto"/>
        <w:ind w:left="567" w:right="260"/>
        <w:rPr>
          <w:rFonts w:ascii="Arial" w:hAnsi="Arial" w:cs="Arial"/>
          <w:iCs/>
        </w:rPr>
      </w:pPr>
    </w:p>
    <w:p w14:paraId="55BF5242" w14:textId="77777777" w:rsidR="00441E76" w:rsidRPr="00BA453C" w:rsidRDefault="00422B69" w:rsidP="00302082">
      <w:pPr>
        <w:spacing w:after="120" w:line="240" w:lineRule="auto"/>
        <w:ind w:right="260"/>
        <w:rPr>
          <w:rFonts w:ascii="Arial" w:hAnsi="Arial" w:cs="Arial"/>
          <w:b/>
          <w:sz w:val="20"/>
        </w:rPr>
      </w:pPr>
      <w:r w:rsidRPr="00BA453C">
        <w:rPr>
          <w:rFonts w:ascii="Arial" w:hAnsi="Arial" w:cs="Arial"/>
          <w:b/>
          <w:sz w:val="20"/>
        </w:rPr>
        <w:t>FACULTIES SUPPORT OFFICE</w:t>
      </w:r>
      <w:r w:rsidR="00441E76" w:rsidRPr="00BA453C">
        <w:rPr>
          <w:rFonts w:ascii="Arial" w:hAnsi="Arial" w:cs="Arial"/>
          <w:b/>
          <w:sz w:val="20"/>
        </w:rPr>
        <w:t xml:space="preserve"> USE ONLY</w:t>
      </w:r>
      <w:r w:rsidR="00C612A8" w:rsidRPr="00BA453C">
        <w:rPr>
          <w:rFonts w:ascii="Arial" w:hAnsi="Arial" w:cs="Arial"/>
          <w:b/>
          <w:sz w:val="20"/>
        </w:rPr>
        <w:t xml:space="preserve"> </w:t>
      </w:r>
    </w:p>
    <w:p w14:paraId="27C38CC3" w14:textId="77777777" w:rsidR="00D83563" w:rsidRPr="00BA453C" w:rsidRDefault="00D83563" w:rsidP="00302082">
      <w:pPr>
        <w:spacing w:after="120" w:line="240" w:lineRule="auto"/>
        <w:ind w:right="260"/>
        <w:rPr>
          <w:rFonts w:ascii="Arial" w:hAnsi="Arial" w:cs="Arial"/>
          <w:b/>
          <w:sz w:val="20"/>
        </w:rPr>
      </w:pPr>
      <w:r w:rsidRPr="00BA453C">
        <w:rPr>
          <w:rFonts w:ascii="Arial" w:hAnsi="Arial" w:cs="Arial"/>
          <w:b/>
          <w:sz w:val="20"/>
        </w:rPr>
        <w:t>Revision record – all revisions must be recorded in the grid and full details of the change retained in the appropriate committee records.</w:t>
      </w:r>
    </w:p>
    <w:p w14:paraId="13FBE611" w14:textId="77777777" w:rsidR="00422B69" w:rsidRPr="00302082" w:rsidRDefault="00422B69" w:rsidP="00302082">
      <w:pPr>
        <w:spacing w:after="120" w:line="240" w:lineRule="auto"/>
        <w:ind w:right="-330"/>
        <w:rPr>
          <w:rFonts w:ascii="Arial" w:hAnsi="Arial" w:cs="Arial"/>
          <w:b/>
        </w:rPr>
      </w:pPr>
    </w:p>
    <w:tbl>
      <w:tblPr>
        <w:tblStyle w:val="TableGrid"/>
        <w:tblW w:w="10682" w:type="dxa"/>
        <w:tblLook w:val="04A0" w:firstRow="1" w:lastRow="0" w:firstColumn="1" w:lastColumn="0" w:noHBand="0" w:noVBand="1"/>
      </w:tblPr>
      <w:tblGrid>
        <w:gridCol w:w="1526"/>
        <w:gridCol w:w="1701"/>
        <w:gridCol w:w="1871"/>
        <w:gridCol w:w="2552"/>
        <w:gridCol w:w="3032"/>
      </w:tblGrid>
      <w:tr w:rsidR="00302082" w:rsidRPr="00BA453C" w14:paraId="1DB7AF3D" w14:textId="77777777" w:rsidTr="00154D48">
        <w:trPr>
          <w:trHeight w:val="317"/>
        </w:trPr>
        <w:tc>
          <w:tcPr>
            <w:tcW w:w="1526" w:type="dxa"/>
          </w:tcPr>
          <w:p w14:paraId="41B5C9C1" w14:textId="77777777" w:rsidR="00422B69" w:rsidRPr="00BA453C" w:rsidRDefault="00422B69" w:rsidP="00302082">
            <w:pPr>
              <w:spacing w:after="120"/>
              <w:ind w:right="-330"/>
              <w:rPr>
                <w:rFonts w:ascii="Arial" w:hAnsi="Arial" w:cs="Arial"/>
                <w:sz w:val="18"/>
              </w:rPr>
            </w:pPr>
            <w:r w:rsidRPr="00BA453C">
              <w:rPr>
                <w:rFonts w:ascii="Arial" w:hAnsi="Arial" w:cs="Arial"/>
                <w:sz w:val="18"/>
              </w:rPr>
              <w:t>Date approved</w:t>
            </w:r>
          </w:p>
        </w:tc>
        <w:tc>
          <w:tcPr>
            <w:tcW w:w="1701" w:type="dxa"/>
          </w:tcPr>
          <w:p w14:paraId="7609D810" w14:textId="77777777" w:rsidR="00422B69" w:rsidRPr="00BA453C" w:rsidRDefault="00422B69" w:rsidP="00302082">
            <w:pPr>
              <w:spacing w:after="120"/>
              <w:rPr>
                <w:rFonts w:ascii="Arial" w:hAnsi="Arial" w:cs="Arial"/>
                <w:sz w:val="18"/>
              </w:rPr>
            </w:pPr>
            <w:r w:rsidRPr="00BA453C">
              <w:rPr>
                <w:rFonts w:ascii="Arial" w:hAnsi="Arial" w:cs="Arial"/>
                <w:sz w:val="18"/>
              </w:rPr>
              <w:t>Major/minor revision</w:t>
            </w:r>
          </w:p>
        </w:tc>
        <w:tc>
          <w:tcPr>
            <w:tcW w:w="1871" w:type="dxa"/>
          </w:tcPr>
          <w:p w14:paraId="72B2CDAD" w14:textId="77777777" w:rsidR="00422B69" w:rsidRPr="00BA453C" w:rsidRDefault="00154D48" w:rsidP="00302082">
            <w:pPr>
              <w:spacing w:after="120"/>
              <w:ind w:right="-34"/>
              <w:rPr>
                <w:rFonts w:ascii="Arial" w:hAnsi="Arial" w:cs="Arial"/>
                <w:sz w:val="18"/>
              </w:rPr>
            </w:pPr>
            <w:r>
              <w:rPr>
                <w:rFonts w:ascii="Arial" w:hAnsi="Arial" w:cs="Arial"/>
                <w:sz w:val="18"/>
              </w:rPr>
              <w:t>Start date of delivery of</w:t>
            </w:r>
            <w:r w:rsidR="00422B69" w:rsidRPr="00BA453C">
              <w:rPr>
                <w:rFonts w:ascii="Arial" w:hAnsi="Arial" w:cs="Arial"/>
                <w:sz w:val="18"/>
              </w:rPr>
              <w:t xml:space="preserve"> revised version</w:t>
            </w:r>
          </w:p>
        </w:tc>
        <w:tc>
          <w:tcPr>
            <w:tcW w:w="2552" w:type="dxa"/>
          </w:tcPr>
          <w:p w14:paraId="50896D64" w14:textId="77777777" w:rsidR="00422B69" w:rsidRPr="00BA453C" w:rsidRDefault="00422B69" w:rsidP="00302082">
            <w:pPr>
              <w:spacing w:after="120"/>
              <w:ind w:right="-330"/>
              <w:rPr>
                <w:rFonts w:ascii="Arial" w:hAnsi="Arial" w:cs="Arial"/>
                <w:sz w:val="18"/>
              </w:rPr>
            </w:pPr>
            <w:r w:rsidRPr="00BA453C">
              <w:rPr>
                <w:rFonts w:ascii="Arial" w:hAnsi="Arial" w:cs="Arial"/>
                <w:sz w:val="18"/>
              </w:rPr>
              <w:t>Section revised</w:t>
            </w:r>
          </w:p>
        </w:tc>
        <w:tc>
          <w:tcPr>
            <w:tcW w:w="3032" w:type="dxa"/>
          </w:tcPr>
          <w:p w14:paraId="433685CC" w14:textId="77777777" w:rsidR="00422B69" w:rsidRPr="00BA453C" w:rsidRDefault="00422B69" w:rsidP="00302082">
            <w:pPr>
              <w:spacing w:after="120"/>
              <w:ind w:right="-330"/>
              <w:rPr>
                <w:rFonts w:ascii="Arial" w:hAnsi="Arial" w:cs="Arial"/>
                <w:sz w:val="18"/>
              </w:rPr>
            </w:pPr>
            <w:r w:rsidRPr="00BA453C">
              <w:rPr>
                <w:rFonts w:ascii="Arial" w:hAnsi="Arial" w:cs="Arial"/>
                <w:sz w:val="18"/>
              </w:rPr>
              <w:t>Impacts PLOs</w:t>
            </w:r>
            <w:r w:rsidR="00694309">
              <w:rPr>
                <w:rFonts w:ascii="Arial" w:hAnsi="Arial" w:cs="Arial"/>
                <w:sz w:val="18"/>
              </w:rPr>
              <w:t xml:space="preserve"> (</w:t>
            </w:r>
            <w:r w:rsidR="001A425B" w:rsidRPr="00BA453C">
              <w:rPr>
                <w:rFonts w:ascii="Arial" w:hAnsi="Arial" w:cs="Arial"/>
                <w:sz w:val="18"/>
              </w:rPr>
              <w:t>Q6&amp;7 cover sheet)</w:t>
            </w:r>
          </w:p>
        </w:tc>
      </w:tr>
      <w:tr w:rsidR="00302082" w:rsidRPr="00302082" w14:paraId="2EB38FC9" w14:textId="77777777" w:rsidTr="00154D48">
        <w:trPr>
          <w:trHeight w:val="305"/>
        </w:trPr>
        <w:tc>
          <w:tcPr>
            <w:tcW w:w="1526" w:type="dxa"/>
          </w:tcPr>
          <w:p w14:paraId="2ACA7F9E" w14:textId="26B229E4" w:rsidR="00422B69" w:rsidRPr="000B5F78" w:rsidRDefault="000B5F78" w:rsidP="00302082">
            <w:pPr>
              <w:spacing w:after="120"/>
              <w:ind w:right="-330"/>
              <w:rPr>
                <w:rFonts w:ascii="Arial" w:hAnsi="Arial" w:cs="Arial"/>
                <w:sz w:val="18"/>
                <w:szCs w:val="18"/>
              </w:rPr>
            </w:pPr>
            <w:r>
              <w:rPr>
                <w:rFonts w:ascii="Arial" w:hAnsi="Arial" w:cs="Arial"/>
                <w:sz w:val="18"/>
                <w:szCs w:val="18"/>
              </w:rPr>
              <w:t>10/12/19</w:t>
            </w:r>
          </w:p>
        </w:tc>
        <w:tc>
          <w:tcPr>
            <w:tcW w:w="1701" w:type="dxa"/>
          </w:tcPr>
          <w:p w14:paraId="358E9CAD" w14:textId="262EC8E8" w:rsidR="00422B69" w:rsidRPr="000B5F78" w:rsidRDefault="000B5F78" w:rsidP="00302082">
            <w:pPr>
              <w:spacing w:after="120"/>
              <w:ind w:right="-330"/>
              <w:rPr>
                <w:rFonts w:ascii="Arial" w:hAnsi="Arial" w:cs="Arial"/>
                <w:sz w:val="18"/>
                <w:szCs w:val="18"/>
              </w:rPr>
            </w:pPr>
            <w:r>
              <w:rPr>
                <w:rFonts w:ascii="Arial" w:hAnsi="Arial" w:cs="Arial"/>
                <w:sz w:val="18"/>
                <w:szCs w:val="18"/>
              </w:rPr>
              <w:t>Major</w:t>
            </w:r>
          </w:p>
        </w:tc>
        <w:tc>
          <w:tcPr>
            <w:tcW w:w="1871" w:type="dxa"/>
          </w:tcPr>
          <w:p w14:paraId="3B1D6F3E" w14:textId="31F4BF2D" w:rsidR="00422B69" w:rsidRPr="000B5F78" w:rsidRDefault="000B5F78" w:rsidP="00302082">
            <w:pPr>
              <w:spacing w:after="120"/>
              <w:ind w:right="-330"/>
              <w:rPr>
                <w:rFonts w:ascii="Arial" w:hAnsi="Arial" w:cs="Arial"/>
                <w:sz w:val="18"/>
                <w:szCs w:val="18"/>
              </w:rPr>
            </w:pPr>
            <w:r>
              <w:rPr>
                <w:rFonts w:ascii="Arial" w:hAnsi="Arial" w:cs="Arial"/>
                <w:sz w:val="18"/>
                <w:szCs w:val="18"/>
              </w:rPr>
              <w:t>September 2020</w:t>
            </w:r>
          </w:p>
        </w:tc>
        <w:tc>
          <w:tcPr>
            <w:tcW w:w="2552" w:type="dxa"/>
          </w:tcPr>
          <w:p w14:paraId="7341618E" w14:textId="394F5287" w:rsidR="00422B69" w:rsidRPr="000B5F78" w:rsidRDefault="000B5F78" w:rsidP="00302082">
            <w:pPr>
              <w:spacing w:after="120"/>
              <w:ind w:right="-330"/>
              <w:rPr>
                <w:rFonts w:ascii="Arial" w:hAnsi="Arial" w:cs="Arial"/>
                <w:sz w:val="18"/>
                <w:szCs w:val="18"/>
              </w:rPr>
            </w:pPr>
            <w:r w:rsidRPr="000B5F78">
              <w:rPr>
                <w:rFonts w:ascii="Arial" w:hAnsi="Arial" w:cs="Arial"/>
                <w:sz w:val="18"/>
                <w:szCs w:val="18"/>
              </w:rPr>
              <w:t>3-5, 9-14, 17</w:t>
            </w:r>
          </w:p>
        </w:tc>
        <w:tc>
          <w:tcPr>
            <w:tcW w:w="3032" w:type="dxa"/>
          </w:tcPr>
          <w:p w14:paraId="2E488218" w14:textId="4229DF38" w:rsidR="00422B69" w:rsidRPr="000B5F78" w:rsidRDefault="000B5F78" w:rsidP="00302082">
            <w:pPr>
              <w:spacing w:after="120"/>
              <w:ind w:right="-330"/>
              <w:rPr>
                <w:rFonts w:ascii="Arial" w:hAnsi="Arial" w:cs="Arial"/>
                <w:sz w:val="18"/>
                <w:szCs w:val="18"/>
              </w:rPr>
            </w:pPr>
            <w:r>
              <w:rPr>
                <w:rFonts w:ascii="Arial" w:hAnsi="Arial" w:cs="Arial"/>
                <w:sz w:val="18"/>
                <w:szCs w:val="18"/>
              </w:rPr>
              <w:t>No</w:t>
            </w:r>
          </w:p>
        </w:tc>
      </w:tr>
      <w:tr w:rsidR="00302082" w:rsidRPr="00302082" w14:paraId="32BDD6E6" w14:textId="77777777" w:rsidTr="00154D48">
        <w:trPr>
          <w:trHeight w:val="305"/>
        </w:trPr>
        <w:tc>
          <w:tcPr>
            <w:tcW w:w="1526" w:type="dxa"/>
          </w:tcPr>
          <w:p w14:paraId="399FED48" w14:textId="77777777" w:rsidR="00422B69" w:rsidRPr="00302082" w:rsidRDefault="00422B69" w:rsidP="00302082">
            <w:pPr>
              <w:spacing w:after="120"/>
              <w:ind w:right="-330"/>
              <w:rPr>
                <w:rFonts w:ascii="Arial" w:hAnsi="Arial" w:cs="Arial"/>
              </w:rPr>
            </w:pPr>
          </w:p>
        </w:tc>
        <w:tc>
          <w:tcPr>
            <w:tcW w:w="1701" w:type="dxa"/>
          </w:tcPr>
          <w:p w14:paraId="475EC623" w14:textId="77777777" w:rsidR="00422B69" w:rsidRPr="00302082" w:rsidRDefault="00422B69" w:rsidP="00302082">
            <w:pPr>
              <w:spacing w:after="120"/>
              <w:ind w:right="-330"/>
              <w:rPr>
                <w:rFonts w:ascii="Arial" w:hAnsi="Arial" w:cs="Arial"/>
              </w:rPr>
            </w:pPr>
          </w:p>
        </w:tc>
        <w:tc>
          <w:tcPr>
            <w:tcW w:w="1871" w:type="dxa"/>
          </w:tcPr>
          <w:p w14:paraId="19E40489" w14:textId="77777777" w:rsidR="00422B69" w:rsidRPr="00302082" w:rsidRDefault="00422B69" w:rsidP="00302082">
            <w:pPr>
              <w:spacing w:after="120"/>
              <w:ind w:right="-330"/>
              <w:rPr>
                <w:rFonts w:ascii="Arial" w:hAnsi="Arial" w:cs="Arial"/>
              </w:rPr>
            </w:pPr>
          </w:p>
        </w:tc>
        <w:tc>
          <w:tcPr>
            <w:tcW w:w="2552" w:type="dxa"/>
          </w:tcPr>
          <w:p w14:paraId="5B8EAAC0" w14:textId="77777777" w:rsidR="00422B69" w:rsidRPr="00302082" w:rsidRDefault="00422B69" w:rsidP="00302082">
            <w:pPr>
              <w:spacing w:after="120"/>
              <w:ind w:right="-330"/>
              <w:rPr>
                <w:rFonts w:ascii="Arial" w:hAnsi="Arial" w:cs="Arial"/>
              </w:rPr>
            </w:pPr>
          </w:p>
        </w:tc>
        <w:tc>
          <w:tcPr>
            <w:tcW w:w="3032" w:type="dxa"/>
          </w:tcPr>
          <w:p w14:paraId="0B395D52" w14:textId="77777777" w:rsidR="00422B69" w:rsidRPr="00302082" w:rsidRDefault="00422B69" w:rsidP="00302082">
            <w:pPr>
              <w:spacing w:after="120"/>
              <w:ind w:right="-330"/>
              <w:rPr>
                <w:rFonts w:ascii="Arial" w:hAnsi="Arial" w:cs="Arial"/>
              </w:rPr>
            </w:pPr>
          </w:p>
        </w:tc>
      </w:tr>
    </w:tbl>
    <w:p w14:paraId="37EA13AA" w14:textId="77777777" w:rsidR="00D83563" w:rsidRPr="00302082" w:rsidRDefault="00D83563" w:rsidP="00302082">
      <w:pPr>
        <w:spacing w:after="120" w:line="240" w:lineRule="auto"/>
        <w:ind w:right="-330"/>
        <w:rPr>
          <w:rFonts w:ascii="Arial" w:hAnsi="Arial" w:cs="Arial"/>
        </w:rPr>
      </w:pPr>
    </w:p>
    <w:sectPr w:rsidR="00D83563" w:rsidRPr="00302082" w:rsidSect="00B213D2">
      <w:headerReference w:type="default" r:id="rId10"/>
      <w:footerReference w:type="default" r:id="rId11"/>
      <w:headerReference w:type="first" r:id="rId12"/>
      <w:footerReference w:type="first" r:id="rId13"/>
      <w:pgSz w:w="11906" w:h="16838" w:code="9"/>
      <w:pgMar w:top="720" w:right="720" w:bottom="720" w:left="72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ill Tobin" w:date="2019-12-03T16:20:00Z" w:initials="GT">
    <w:p w14:paraId="69B8DDDD" w14:textId="77777777" w:rsidR="001D059C" w:rsidRDefault="001D059C">
      <w:pPr>
        <w:pStyle w:val="CommentText"/>
      </w:pPr>
      <w:r>
        <w:rPr>
          <w:rStyle w:val="CommentReference"/>
        </w:rPr>
        <w:annotationRef/>
      </w:r>
      <w:r>
        <w:t>Dear Daiva, the proforma states that these essays are 3000 words each and worth 45% each.  When Faculty checked all specs were CMA compliant early 2018, this level of detail was removed from all of our specs, in order to futureproof them, and allow for some variation in assignments without the need for a new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B8DDD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5DF0A" w14:textId="77777777" w:rsidR="00201C5F" w:rsidRDefault="00201C5F" w:rsidP="009A2D37">
      <w:pPr>
        <w:spacing w:after="0" w:line="240" w:lineRule="auto"/>
      </w:pPr>
      <w:r>
        <w:separator/>
      </w:r>
    </w:p>
  </w:endnote>
  <w:endnote w:type="continuationSeparator" w:id="0">
    <w:p w14:paraId="23BDF3B1" w14:textId="77777777" w:rsidR="00201C5F" w:rsidRDefault="00201C5F" w:rsidP="009A2D37">
      <w:pPr>
        <w:spacing w:after="0" w:line="240" w:lineRule="auto"/>
      </w:pPr>
      <w:r>
        <w:continuationSeparator/>
      </w:r>
    </w:p>
  </w:endnote>
  <w:endnote w:type="continuationNotice" w:id="1">
    <w:p w14:paraId="6916EE2A" w14:textId="77777777" w:rsidR="00201C5F" w:rsidRDefault="00201C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nti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59864"/>
      <w:docPartObj>
        <w:docPartGallery w:val="Page Numbers (Bottom of Page)"/>
        <w:docPartUnique/>
      </w:docPartObj>
    </w:sdtPr>
    <w:sdtEndPr/>
    <w:sdtContent>
      <w:p w14:paraId="257326BE" w14:textId="18E392DC" w:rsidR="008B2543" w:rsidRDefault="0019787E" w:rsidP="009A2D37">
        <w:pPr>
          <w:pStyle w:val="Footer"/>
          <w:jc w:val="center"/>
        </w:pPr>
        <w:r>
          <w:fldChar w:fldCharType="begin"/>
        </w:r>
        <w:r>
          <w:instrText xml:space="preserve"> PAGE   \* MERGEFORMAT </w:instrText>
        </w:r>
        <w:r>
          <w:fldChar w:fldCharType="separate"/>
        </w:r>
        <w:r w:rsidR="000B5F78">
          <w:rPr>
            <w:noProof/>
          </w:rPr>
          <w:t>4</w:t>
        </w:r>
        <w:r>
          <w:rPr>
            <w:noProof/>
          </w:rPr>
          <w:fldChar w:fldCharType="end"/>
        </w:r>
      </w:p>
    </w:sdtContent>
  </w:sdt>
  <w:p w14:paraId="4DA21579" w14:textId="77777777" w:rsidR="008B2543" w:rsidRPr="007B7724" w:rsidRDefault="008B2543" w:rsidP="007B7724">
    <w:pPr>
      <w:pStyle w:val="Footer"/>
      <w:spacing w:after="120"/>
      <w:ind w:right="-330"/>
      <w:rPr>
        <w:rFonts w:ascii="Arial" w:hAnsi="Arial"/>
        <w:sz w:val="18"/>
      </w:rPr>
    </w:pPr>
    <w:r w:rsidRPr="007B7724">
      <w:rPr>
        <w:rFonts w:ascii="Arial" w:hAnsi="Arial"/>
        <w:sz w:val="18"/>
      </w:rPr>
      <w:t>Module Specification Template</w:t>
    </w:r>
    <w:r w:rsidR="00883204">
      <w:rPr>
        <w:rFonts w:ascii="Arial" w:hAnsi="Arial"/>
        <w:sz w:val="18"/>
      </w:rPr>
      <w:t xml:space="preserve"> with Guidance</w:t>
    </w:r>
    <w:r>
      <w:rPr>
        <w:rFonts w:ascii="Arial" w:hAnsi="Arial"/>
        <w:sz w:val="18"/>
      </w:rPr>
      <w:t xml:space="preserve"> (</w:t>
    </w:r>
    <w:r w:rsidR="00DB36AB">
      <w:rPr>
        <w:rFonts w:ascii="Arial" w:hAnsi="Arial"/>
        <w:sz w:val="18"/>
      </w:rPr>
      <w:t>September 2019</w:t>
    </w:r>
    <w:r>
      <w:rPr>
        <w:rFonts w:ascii="Arial" w:hAnsi="Arial"/>
        <w:sz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109313"/>
      <w:docPartObj>
        <w:docPartGallery w:val="Page Numbers (Bottom of Page)"/>
        <w:docPartUnique/>
      </w:docPartObj>
    </w:sdtPr>
    <w:sdtEndPr/>
    <w:sdtContent>
      <w:p w14:paraId="4314F3D3" w14:textId="3435D1C1" w:rsidR="00DB36AB" w:rsidRDefault="00DB36AB" w:rsidP="00DB36AB">
        <w:pPr>
          <w:pStyle w:val="Footer"/>
          <w:jc w:val="center"/>
        </w:pPr>
        <w:r>
          <w:fldChar w:fldCharType="begin"/>
        </w:r>
        <w:r>
          <w:instrText xml:space="preserve"> PAGE   \* MERGEFORMAT </w:instrText>
        </w:r>
        <w:r>
          <w:fldChar w:fldCharType="separate"/>
        </w:r>
        <w:r w:rsidR="000B5F78">
          <w:rPr>
            <w:noProof/>
          </w:rPr>
          <w:t>1</w:t>
        </w:r>
        <w:r>
          <w:rPr>
            <w:noProof/>
          </w:rPr>
          <w:fldChar w:fldCharType="end"/>
        </w:r>
      </w:p>
    </w:sdtContent>
  </w:sdt>
  <w:p w14:paraId="15DAC1DB" w14:textId="77777777" w:rsidR="00DB36AB" w:rsidRPr="00DB36AB" w:rsidRDefault="00DB36AB" w:rsidP="00DB36AB">
    <w:pPr>
      <w:pStyle w:val="Footer"/>
      <w:spacing w:after="120"/>
      <w:ind w:right="-330"/>
      <w:rPr>
        <w:rFonts w:ascii="Arial" w:hAnsi="Arial"/>
        <w:sz w:val="18"/>
      </w:rPr>
    </w:pPr>
    <w:r w:rsidRPr="007B7724">
      <w:rPr>
        <w:rFonts w:ascii="Arial" w:hAnsi="Arial"/>
        <w:sz w:val="18"/>
      </w:rPr>
      <w:t>Module Specification Template</w:t>
    </w:r>
    <w:r>
      <w:rPr>
        <w:rFonts w:ascii="Arial" w:hAnsi="Arial"/>
        <w:sz w:val="18"/>
      </w:rPr>
      <w:t xml:space="preserve"> with Guidance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1788B" w14:textId="77777777" w:rsidR="00201C5F" w:rsidRDefault="00201C5F" w:rsidP="009A2D37">
      <w:pPr>
        <w:spacing w:after="0" w:line="240" w:lineRule="auto"/>
      </w:pPr>
      <w:r>
        <w:separator/>
      </w:r>
    </w:p>
  </w:footnote>
  <w:footnote w:type="continuationSeparator" w:id="0">
    <w:p w14:paraId="77F42604" w14:textId="77777777" w:rsidR="00201C5F" w:rsidRDefault="00201C5F" w:rsidP="009A2D37">
      <w:pPr>
        <w:spacing w:after="0" w:line="240" w:lineRule="auto"/>
      </w:pPr>
      <w:r>
        <w:continuationSeparator/>
      </w:r>
    </w:p>
  </w:footnote>
  <w:footnote w:type="continuationNotice" w:id="1">
    <w:p w14:paraId="3A14063B" w14:textId="77777777" w:rsidR="00201C5F" w:rsidRDefault="00201C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8BD6"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44EE7C65" wp14:editId="0C26FECB">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5CA57BAA" w14:textId="77777777" w:rsidR="008B2543" w:rsidRPr="008C00F8" w:rsidRDefault="008B2543" w:rsidP="005E6D38">
    <w:pPr>
      <w:pStyle w:val="Heading1"/>
      <w:spacing w:before="60" w:after="60"/>
      <w:rPr>
        <w:rFonts w:ascii="Arial" w:hAnsi="Arial" w:cs="Arial"/>
      </w:rPr>
    </w:pPr>
  </w:p>
  <w:p w14:paraId="53860A50"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A403" w14:textId="5B93C9D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4F096BE4" wp14:editId="377CE1DF">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MODULE SPECIFICATION </w:t>
    </w:r>
  </w:p>
  <w:p w14:paraId="00DBE91A"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517A9B"/>
    <w:multiLevelType w:val="hybridMultilevel"/>
    <w:tmpl w:val="C21434B0"/>
    <w:lvl w:ilvl="0" w:tplc="1C4A99FE">
      <w:start w:val="1"/>
      <w:numFmt w:val="decimal"/>
      <w:lvlText w:val="8.%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B5D2C"/>
    <w:multiLevelType w:val="hybridMultilevel"/>
    <w:tmpl w:val="5ACA8090"/>
    <w:lvl w:ilvl="0" w:tplc="71EA7818">
      <w:start w:val="1"/>
      <w:numFmt w:val="decimal"/>
      <w:lvlText w:val="9.%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4730FE8"/>
    <w:multiLevelType w:val="hybridMultilevel"/>
    <w:tmpl w:val="2E5276C0"/>
    <w:lvl w:ilvl="0" w:tplc="38CEBAB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59AA10F9"/>
    <w:multiLevelType w:val="hybridMultilevel"/>
    <w:tmpl w:val="D2DE3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9"/>
  </w:num>
  <w:num w:numId="6">
    <w:abstractNumId w:val="7"/>
  </w:num>
  <w:num w:numId="7">
    <w:abstractNumId w:val="10"/>
  </w:num>
  <w:num w:numId="8">
    <w:abstractNumId w:val="8"/>
  </w:num>
  <w:num w:numId="9">
    <w:abstractNumId w:val="6"/>
  </w:num>
  <w:num w:numId="10">
    <w:abstractNumId w:val="2"/>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 Tobin">
    <w15:presenceInfo w15:providerId="AD" w15:userId="S-1-5-21-116143283-1862434482-632688529-43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37"/>
    <w:rsid w:val="00000C8C"/>
    <w:rsid w:val="000017F2"/>
    <w:rsid w:val="00005661"/>
    <w:rsid w:val="00010A16"/>
    <w:rsid w:val="0001243F"/>
    <w:rsid w:val="00021EA0"/>
    <w:rsid w:val="00025992"/>
    <w:rsid w:val="00027937"/>
    <w:rsid w:val="00030C9E"/>
    <w:rsid w:val="00031E67"/>
    <w:rsid w:val="000408CC"/>
    <w:rsid w:val="00045373"/>
    <w:rsid w:val="00063A2F"/>
    <w:rsid w:val="000678D3"/>
    <w:rsid w:val="00094810"/>
    <w:rsid w:val="00096DA4"/>
    <w:rsid w:val="000B5F78"/>
    <w:rsid w:val="000C0294"/>
    <w:rsid w:val="000C3A7E"/>
    <w:rsid w:val="000C7A1C"/>
    <w:rsid w:val="000D2683"/>
    <w:rsid w:val="000D2A8A"/>
    <w:rsid w:val="000D32AC"/>
    <w:rsid w:val="000E20C1"/>
    <w:rsid w:val="000E3B73"/>
    <w:rsid w:val="000F6C56"/>
    <w:rsid w:val="000F7FBF"/>
    <w:rsid w:val="00106BE5"/>
    <w:rsid w:val="00110947"/>
    <w:rsid w:val="00111906"/>
    <w:rsid w:val="00111CB3"/>
    <w:rsid w:val="00117577"/>
    <w:rsid w:val="00117793"/>
    <w:rsid w:val="001206E4"/>
    <w:rsid w:val="001214D3"/>
    <w:rsid w:val="00121BFC"/>
    <w:rsid w:val="001402AD"/>
    <w:rsid w:val="001540CE"/>
    <w:rsid w:val="00154D48"/>
    <w:rsid w:val="0015717B"/>
    <w:rsid w:val="00157ACA"/>
    <w:rsid w:val="00160427"/>
    <w:rsid w:val="00162D46"/>
    <w:rsid w:val="00172793"/>
    <w:rsid w:val="00180558"/>
    <w:rsid w:val="001811E5"/>
    <w:rsid w:val="00183B34"/>
    <w:rsid w:val="00185F46"/>
    <w:rsid w:val="00196C6A"/>
    <w:rsid w:val="0019787E"/>
    <w:rsid w:val="001A425B"/>
    <w:rsid w:val="001A7762"/>
    <w:rsid w:val="001B1B28"/>
    <w:rsid w:val="001B27FB"/>
    <w:rsid w:val="001C1787"/>
    <w:rsid w:val="001C4A85"/>
    <w:rsid w:val="001C5443"/>
    <w:rsid w:val="001D059C"/>
    <w:rsid w:val="001D0C7D"/>
    <w:rsid w:val="001D1F2D"/>
    <w:rsid w:val="001D2314"/>
    <w:rsid w:val="001D620A"/>
    <w:rsid w:val="001D6398"/>
    <w:rsid w:val="001E1F45"/>
    <w:rsid w:val="001E62C1"/>
    <w:rsid w:val="001F0779"/>
    <w:rsid w:val="001F3C3E"/>
    <w:rsid w:val="00201C5F"/>
    <w:rsid w:val="0020243A"/>
    <w:rsid w:val="00204081"/>
    <w:rsid w:val="0021578E"/>
    <w:rsid w:val="00227582"/>
    <w:rsid w:val="002302FD"/>
    <w:rsid w:val="002308BE"/>
    <w:rsid w:val="00236F97"/>
    <w:rsid w:val="002407C0"/>
    <w:rsid w:val="00243FDF"/>
    <w:rsid w:val="002461AF"/>
    <w:rsid w:val="002465A1"/>
    <w:rsid w:val="00264576"/>
    <w:rsid w:val="0026585A"/>
    <w:rsid w:val="00266735"/>
    <w:rsid w:val="00273CF0"/>
    <w:rsid w:val="002748D4"/>
    <w:rsid w:val="00274ED7"/>
    <w:rsid w:val="0028461D"/>
    <w:rsid w:val="0028590C"/>
    <w:rsid w:val="00292C46"/>
    <w:rsid w:val="002938D6"/>
    <w:rsid w:val="00294B73"/>
    <w:rsid w:val="002A0C18"/>
    <w:rsid w:val="002A219B"/>
    <w:rsid w:val="002A22DB"/>
    <w:rsid w:val="002B20F5"/>
    <w:rsid w:val="002B2A1A"/>
    <w:rsid w:val="002B71F2"/>
    <w:rsid w:val="002E71C0"/>
    <w:rsid w:val="002F05F4"/>
    <w:rsid w:val="002F0CE4"/>
    <w:rsid w:val="002F23EF"/>
    <w:rsid w:val="002F2626"/>
    <w:rsid w:val="00302082"/>
    <w:rsid w:val="00306620"/>
    <w:rsid w:val="003262B9"/>
    <w:rsid w:val="00334A02"/>
    <w:rsid w:val="00335875"/>
    <w:rsid w:val="00335FBE"/>
    <w:rsid w:val="00351D4F"/>
    <w:rsid w:val="00352D8E"/>
    <w:rsid w:val="00355E42"/>
    <w:rsid w:val="00356B68"/>
    <w:rsid w:val="0035702D"/>
    <w:rsid w:val="003604D4"/>
    <w:rsid w:val="003627B0"/>
    <w:rsid w:val="00374DF6"/>
    <w:rsid w:val="003759B0"/>
    <w:rsid w:val="00375F84"/>
    <w:rsid w:val="00376E34"/>
    <w:rsid w:val="003804E7"/>
    <w:rsid w:val="003934D2"/>
    <w:rsid w:val="003973A1"/>
    <w:rsid w:val="003A5DA0"/>
    <w:rsid w:val="003A5EEB"/>
    <w:rsid w:val="003A6143"/>
    <w:rsid w:val="003B35F4"/>
    <w:rsid w:val="003B7C76"/>
    <w:rsid w:val="003C3E0C"/>
    <w:rsid w:val="003C776B"/>
    <w:rsid w:val="003D4A1C"/>
    <w:rsid w:val="003D7AA0"/>
    <w:rsid w:val="003E1FF7"/>
    <w:rsid w:val="003E311D"/>
    <w:rsid w:val="003F3578"/>
    <w:rsid w:val="003F4470"/>
    <w:rsid w:val="003F5A04"/>
    <w:rsid w:val="003F67CD"/>
    <w:rsid w:val="00402ED7"/>
    <w:rsid w:val="004057F8"/>
    <w:rsid w:val="004114F8"/>
    <w:rsid w:val="00422B69"/>
    <w:rsid w:val="00423D86"/>
    <w:rsid w:val="00424C90"/>
    <w:rsid w:val="00436BE9"/>
    <w:rsid w:val="00441E76"/>
    <w:rsid w:val="004443DA"/>
    <w:rsid w:val="00446A75"/>
    <w:rsid w:val="004474A2"/>
    <w:rsid w:val="00460925"/>
    <w:rsid w:val="00471C6C"/>
    <w:rsid w:val="00472023"/>
    <w:rsid w:val="00486993"/>
    <w:rsid w:val="00492DA4"/>
    <w:rsid w:val="00496AA3"/>
    <w:rsid w:val="00497C98"/>
    <w:rsid w:val="004A39D7"/>
    <w:rsid w:val="004A55FA"/>
    <w:rsid w:val="004B5D03"/>
    <w:rsid w:val="004C1EC4"/>
    <w:rsid w:val="004D035C"/>
    <w:rsid w:val="004F3C18"/>
    <w:rsid w:val="004F4328"/>
    <w:rsid w:val="005005E4"/>
    <w:rsid w:val="00513689"/>
    <w:rsid w:val="0051375A"/>
    <w:rsid w:val="00521097"/>
    <w:rsid w:val="0053059E"/>
    <w:rsid w:val="00532F6F"/>
    <w:rsid w:val="00533663"/>
    <w:rsid w:val="00534F73"/>
    <w:rsid w:val="005460C2"/>
    <w:rsid w:val="005526FB"/>
    <w:rsid w:val="0055280A"/>
    <w:rsid w:val="005548E1"/>
    <w:rsid w:val="0055585D"/>
    <w:rsid w:val="0056127B"/>
    <w:rsid w:val="00561D26"/>
    <w:rsid w:val="00564738"/>
    <w:rsid w:val="00567EC9"/>
    <w:rsid w:val="00571630"/>
    <w:rsid w:val="005759F4"/>
    <w:rsid w:val="005779D1"/>
    <w:rsid w:val="0058041A"/>
    <w:rsid w:val="00581B45"/>
    <w:rsid w:val="00584AEC"/>
    <w:rsid w:val="0058743D"/>
    <w:rsid w:val="00587BF7"/>
    <w:rsid w:val="00592034"/>
    <w:rsid w:val="0059477B"/>
    <w:rsid w:val="00596884"/>
    <w:rsid w:val="005A14B5"/>
    <w:rsid w:val="005B5A98"/>
    <w:rsid w:val="005C1A4F"/>
    <w:rsid w:val="005C260A"/>
    <w:rsid w:val="005C27D7"/>
    <w:rsid w:val="005D7CD0"/>
    <w:rsid w:val="005E1A3A"/>
    <w:rsid w:val="005E498A"/>
    <w:rsid w:val="005E6ADC"/>
    <w:rsid w:val="005E6D10"/>
    <w:rsid w:val="005E6D38"/>
    <w:rsid w:val="005E7B3F"/>
    <w:rsid w:val="005F040F"/>
    <w:rsid w:val="005F2C42"/>
    <w:rsid w:val="006043FC"/>
    <w:rsid w:val="006050CF"/>
    <w:rsid w:val="0062219E"/>
    <w:rsid w:val="006253AA"/>
    <w:rsid w:val="00626023"/>
    <w:rsid w:val="00633150"/>
    <w:rsid w:val="00637A50"/>
    <w:rsid w:val="00641D6D"/>
    <w:rsid w:val="0064364E"/>
    <w:rsid w:val="006438F3"/>
    <w:rsid w:val="00647907"/>
    <w:rsid w:val="00651A82"/>
    <w:rsid w:val="006525E9"/>
    <w:rsid w:val="0066747B"/>
    <w:rsid w:val="006725EC"/>
    <w:rsid w:val="00674ED0"/>
    <w:rsid w:val="00682650"/>
    <w:rsid w:val="00683609"/>
    <w:rsid w:val="00684851"/>
    <w:rsid w:val="00694309"/>
    <w:rsid w:val="00695285"/>
    <w:rsid w:val="00696FF5"/>
    <w:rsid w:val="006A6BB4"/>
    <w:rsid w:val="006A7FB0"/>
    <w:rsid w:val="006C2A9A"/>
    <w:rsid w:val="006C423D"/>
    <w:rsid w:val="006C46EF"/>
    <w:rsid w:val="006C4C67"/>
    <w:rsid w:val="006D13C0"/>
    <w:rsid w:val="006D41AB"/>
    <w:rsid w:val="006D444F"/>
    <w:rsid w:val="006E4FEA"/>
    <w:rsid w:val="006F1A15"/>
    <w:rsid w:val="006F3F8B"/>
    <w:rsid w:val="00700488"/>
    <w:rsid w:val="00703404"/>
    <w:rsid w:val="00703F92"/>
    <w:rsid w:val="00704637"/>
    <w:rsid w:val="007105E4"/>
    <w:rsid w:val="00714EE5"/>
    <w:rsid w:val="00720270"/>
    <w:rsid w:val="00720885"/>
    <w:rsid w:val="00724362"/>
    <w:rsid w:val="00727780"/>
    <w:rsid w:val="0073792C"/>
    <w:rsid w:val="00754069"/>
    <w:rsid w:val="007667DF"/>
    <w:rsid w:val="0077080B"/>
    <w:rsid w:val="00787070"/>
    <w:rsid w:val="007906FD"/>
    <w:rsid w:val="00797197"/>
    <w:rsid w:val="007972A7"/>
    <w:rsid w:val="007A1C0D"/>
    <w:rsid w:val="007A2BA2"/>
    <w:rsid w:val="007A6245"/>
    <w:rsid w:val="007B1DB2"/>
    <w:rsid w:val="007B375B"/>
    <w:rsid w:val="007B412A"/>
    <w:rsid w:val="007B635E"/>
    <w:rsid w:val="007B7724"/>
    <w:rsid w:val="007B7CDC"/>
    <w:rsid w:val="007C74B4"/>
    <w:rsid w:val="007E3412"/>
    <w:rsid w:val="007F393D"/>
    <w:rsid w:val="008029AF"/>
    <w:rsid w:val="00802FFA"/>
    <w:rsid w:val="008102E5"/>
    <w:rsid w:val="008111B4"/>
    <w:rsid w:val="008133F0"/>
    <w:rsid w:val="00815880"/>
    <w:rsid w:val="0082322C"/>
    <w:rsid w:val="00823942"/>
    <w:rsid w:val="00827FFD"/>
    <w:rsid w:val="00854535"/>
    <w:rsid w:val="00856EB3"/>
    <w:rsid w:val="00863C96"/>
    <w:rsid w:val="00864A72"/>
    <w:rsid w:val="00873E9F"/>
    <w:rsid w:val="00874047"/>
    <w:rsid w:val="008778CB"/>
    <w:rsid w:val="00881545"/>
    <w:rsid w:val="00883204"/>
    <w:rsid w:val="00883A3E"/>
    <w:rsid w:val="0089148D"/>
    <w:rsid w:val="00891E0D"/>
    <w:rsid w:val="008A0F36"/>
    <w:rsid w:val="008B2543"/>
    <w:rsid w:val="008B4B6E"/>
    <w:rsid w:val="008D7401"/>
    <w:rsid w:val="00903DF6"/>
    <w:rsid w:val="00921CF6"/>
    <w:rsid w:val="00922E9E"/>
    <w:rsid w:val="00924EF0"/>
    <w:rsid w:val="00934D7B"/>
    <w:rsid w:val="00945381"/>
    <w:rsid w:val="00947180"/>
    <w:rsid w:val="009567BE"/>
    <w:rsid w:val="009676FA"/>
    <w:rsid w:val="009679E0"/>
    <w:rsid w:val="00977632"/>
    <w:rsid w:val="00982A8E"/>
    <w:rsid w:val="00987DB4"/>
    <w:rsid w:val="0099029D"/>
    <w:rsid w:val="00996204"/>
    <w:rsid w:val="009A26CB"/>
    <w:rsid w:val="009A2BC2"/>
    <w:rsid w:val="009A2D37"/>
    <w:rsid w:val="009A7587"/>
    <w:rsid w:val="009B0A69"/>
    <w:rsid w:val="009C2474"/>
    <w:rsid w:val="009C7082"/>
    <w:rsid w:val="009D0006"/>
    <w:rsid w:val="009D068C"/>
    <w:rsid w:val="009F3A2A"/>
    <w:rsid w:val="009F731F"/>
    <w:rsid w:val="009F7D33"/>
    <w:rsid w:val="00A021FE"/>
    <w:rsid w:val="00A1270E"/>
    <w:rsid w:val="00A15342"/>
    <w:rsid w:val="00A3007E"/>
    <w:rsid w:val="00A32048"/>
    <w:rsid w:val="00A376E2"/>
    <w:rsid w:val="00A41F06"/>
    <w:rsid w:val="00A50FD4"/>
    <w:rsid w:val="00A52DB4"/>
    <w:rsid w:val="00A618E1"/>
    <w:rsid w:val="00A629B9"/>
    <w:rsid w:val="00A70C20"/>
    <w:rsid w:val="00A74292"/>
    <w:rsid w:val="00A776DE"/>
    <w:rsid w:val="00A80640"/>
    <w:rsid w:val="00A87FFD"/>
    <w:rsid w:val="00A96178"/>
    <w:rsid w:val="00A97038"/>
    <w:rsid w:val="00A97CB8"/>
    <w:rsid w:val="00AA3C15"/>
    <w:rsid w:val="00AA6330"/>
    <w:rsid w:val="00AC7501"/>
    <w:rsid w:val="00AD748B"/>
    <w:rsid w:val="00AE4865"/>
    <w:rsid w:val="00AF50EE"/>
    <w:rsid w:val="00B0591D"/>
    <w:rsid w:val="00B13402"/>
    <w:rsid w:val="00B14BC2"/>
    <w:rsid w:val="00B17024"/>
    <w:rsid w:val="00B17CD2"/>
    <w:rsid w:val="00B213D2"/>
    <w:rsid w:val="00B2409B"/>
    <w:rsid w:val="00B248BA"/>
    <w:rsid w:val="00B24B56"/>
    <w:rsid w:val="00B30E07"/>
    <w:rsid w:val="00B34ADD"/>
    <w:rsid w:val="00B52FF5"/>
    <w:rsid w:val="00B5498B"/>
    <w:rsid w:val="00B57219"/>
    <w:rsid w:val="00B658A3"/>
    <w:rsid w:val="00B65AAD"/>
    <w:rsid w:val="00B72470"/>
    <w:rsid w:val="00B746A8"/>
    <w:rsid w:val="00B7664D"/>
    <w:rsid w:val="00B80989"/>
    <w:rsid w:val="00B9109B"/>
    <w:rsid w:val="00B927AE"/>
    <w:rsid w:val="00B93721"/>
    <w:rsid w:val="00B937B1"/>
    <w:rsid w:val="00BA453C"/>
    <w:rsid w:val="00BA4E02"/>
    <w:rsid w:val="00BA5D3C"/>
    <w:rsid w:val="00BB2045"/>
    <w:rsid w:val="00BB2A6D"/>
    <w:rsid w:val="00BB4189"/>
    <w:rsid w:val="00BC19F7"/>
    <w:rsid w:val="00BC34EF"/>
    <w:rsid w:val="00BC41ED"/>
    <w:rsid w:val="00BD009E"/>
    <w:rsid w:val="00BD0EF8"/>
    <w:rsid w:val="00BD7A8C"/>
    <w:rsid w:val="00BE1506"/>
    <w:rsid w:val="00BE2126"/>
    <w:rsid w:val="00BE3B17"/>
    <w:rsid w:val="00BF51AB"/>
    <w:rsid w:val="00BF716B"/>
    <w:rsid w:val="00BF7233"/>
    <w:rsid w:val="00C02AA2"/>
    <w:rsid w:val="00C04C95"/>
    <w:rsid w:val="00C12613"/>
    <w:rsid w:val="00C16DEF"/>
    <w:rsid w:val="00C2492F"/>
    <w:rsid w:val="00C25A2E"/>
    <w:rsid w:val="00C3744A"/>
    <w:rsid w:val="00C4002A"/>
    <w:rsid w:val="00C46912"/>
    <w:rsid w:val="00C612A8"/>
    <w:rsid w:val="00C618D2"/>
    <w:rsid w:val="00C67631"/>
    <w:rsid w:val="00C709C6"/>
    <w:rsid w:val="00C729D7"/>
    <w:rsid w:val="00C83354"/>
    <w:rsid w:val="00C84004"/>
    <w:rsid w:val="00C843F6"/>
    <w:rsid w:val="00C84507"/>
    <w:rsid w:val="00C862C7"/>
    <w:rsid w:val="00C865DC"/>
    <w:rsid w:val="00CA3254"/>
    <w:rsid w:val="00CB11CE"/>
    <w:rsid w:val="00CC25A2"/>
    <w:rsid w:val="00CD7F07"/>
    <w:rsid w:val="00CE04F3"/>
    <w:rsid w:val="00CE12D8"/>
    <w:rsid w:val="00CE4574"/>
    <w:rsid w:val="00CE70E6"/>
    <w:rsid w:val="00CF0BCA"/>
    <w:rsid w:val="00CF2E1E"/>
    <w:rsid w:val="00D02E99"/>
    <w:rsid w:val="00D13357"/>
    <w:rsid w:val="00D13A13"/>
    <w:rsid w:val="00D148E0"/>
    <w:rsid w:val="00D2689A"/>
    <w:rsid w:val="00D63991"/>
    <w:rsid w:val="00D65506"/>
    <w:rsid w:val="00D773CF"/>
    <w:rsid w:val="00D83563"/>
    <w:rsid w:val="00D8448F"/>
    <w:rsid w:val="00DA36FA"/>
    <w:rsid w:val="00DA64B6"/>
    <w:rsid w:val="00DB36AB"/>
    <w:rsid w:val="00DB5C9D"/>
    <w:rsid w:val="00DD02E6"/>
    <w:rsid w:val="00DF665B"/>
    <w:rsid w:val="00E0152A"/>
    <w:rsid w:val="00E03394"/>
    <w:rsid w:val="00E066E5"/>
    <w:rsid w:val="00E22F03"/>
    <w:rsid w:val="00E233C1"/>
    <w:rsid w:val="00E378C5"/>
    <w:rsid w:val="00E51404"/>
    <w:rsid w:val="00E574C9"/>
    <w:rsid w:val="00E610DE"/>
    <w:rsid w:val="00E66167"/>
    <w:rsid w:val="00E71F2F"/>
    <w:rsid w:val="00E77786"/>
    <w:rsid w:val="00E806FB"/>
    <w:rsid w:val="00EB1C2D"/>
    <w:rsid w:val="00EC1810"/>
    <w:rsid w:val="00EC3FCC"/>
    <w:rsid w:val="00ED32FF"/>
    <w:rsid w:val="00EF039B"/>
    <w:rsid w:val="00EF4933"/>
    <w:rsid w:val="00EF5044"/>
    <w:rsid w:val="00F01956"/>
    <w:rsid w:val="00F11310"/>
    <w:rsid w:val="00F116CE"/>
    <w:rsid w:val="00F16F93"/>
    <w:rsid w:val="00F176DE"/>
    <w:rsid w:val="00F21C47"/>
    <w:rsid w:val="00F244E2"/>
    <w:rsid w:val="00F317D7"/>
    <w:rsid w:val="00F340DE"/>
    <w:rsid w:val="00F43542"/>
    <w:rsid w:val="00F44BAB"/>
    <w:rsid w:val="00F454E2"/>
    <w:rsid w:val="00F45DE4"/>
    <w:rsid w:val="00F527CB"/>
    <w:rsid w:val="00F562AA"/>
    <w:rsid w:val="00F66975"/>
    <w:rsid w:val="00F7105A"/>
    <w:rsid w:val="00F7710E"/>
    <w:rsid w:val="00F77676"/>
    <w:rsid w:val="00F8197C"/>
    <w:rsid w:val="00F82B4E"/>
    <w:rsid w:val="00F87559"/>
    <w:rsid w:val="00F96D71"/>
    <w:rsid w:val="00F97C9E"/>
    <w:rsid w:val="00FA20DE"/>
    <w:rsid w:val="00FA4EE8"/>
    <w:rsid w:val="00FB12CA"/>
    <w:rsid w:val="00FB2E32"/>
    <w:rsid w:val="00FB36EC"/>
    <w:rsid w:val="00FB4E1B"/>
    <w:rsid w:val="00FC0291"/>
    <w:rsid w:val="00FC1C92"/>
    <w:rsid w:val="00FD333B"/>
    <w:rsid w:val="00FD689C"/>
    <w:rsid w:val="00FD705C"/>
    <w:rsid w:val="00FD777A"/>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7F39FC2"/>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D37"/>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DB36A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AB6AE-691E-4DA8-97B7-59F72EF97DB9}">
  <ds:schemaRefs>
    <ds:schemaRef ds:uri="http://schemas.openxmlformats.org/officeDocument/2006/bibliography"/>
  </ds:schemaRefs>
</ds:datastoreItem>
</file>

<file path=customXml/itemProps2.xml><?xml version="1.0" encoding="utf-8"?>
<ds:datastoreItem xmlns:ds="http://schemas.openxmlformats.org/officeDocument/2006/customXml" ds:itemID="{FFDCEE0E-98ED-4E65-86D6-7244FA9FF655}"/>
</file>

<file path=customXml/itemProps3.xml><?xml version="1.0" encoding="utf-8"?>
<ds:datastoreItem xmlns:ds="http://schemas.openxmlformats.org/officeDocument/2006/customXml" ds:itemID="{0DA7E8FE-329A-47EA-87F9-4F1FCC4C0D1F}"/>
</file>

<file path=customXml/itemProps4.xml><?xml version="1.0" encoding="utf-8"?>
<ds:datastoreItem xmlns:ds="http://schemas.openxmlformats.org/officeDocument/2006/customXml" ds:itemID="{070182CC-E36F-411E-9312-C424270D252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Denny Flowers</dc:creator>
  <cp:lastModifiedBy>Laura Dack</cp:lastModifiedBy>
  <cp:revision>3</cp:revision>
  <cp:lastPrinted>2015-09-09T08:37:00Z</cp:lastPrinted>
  <dcterms:created xsi:type="dcterms:W3CDTF">2020-01-16T12:15:00Z</dcterms:created>
  <dcterms:modified xsi:type="dcterms:W3CDTF">2020-02-21T12:15:00Z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