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993686" w:rsidP="00696FF5">
      <w:pPr>
        <w:spacing w:after="120" w:line="240" w:lineRule="auto"/>
        <w:ind w:left="567" w:right="260"/>
        <w:jc w:val="both"/>
        <w:rPr>
          <w:rFonts w:cs="Arial"/>
          <w:iCs/>
        </w:rPr>
      </w:pPr>
      <w:r>
        <w:rPr>
          <w:rFonts w:cs="Arial"/>
        </w:rPr>
        <w:t xml:space="preserve">ENGL6630 (EN663): </w:t>
      </w:r>
      <w:r w:rsidRPr="005C4212">
        <w:rPr>
          <w:rFonts w:cs="Arial"/>
        </w:rPr>
        <w:t>The Book Project</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993686">
        <w:rPr>
          <w:rFonts w:cs="Arial"/>
          <w:iCs/>
        </w:rPr>
        <w:t xml:space="preserve">Autumn or </w:t>
      </w:r>
      <w:proofErr w:type="gramStart"/>
      <w:r w:rsidRPr="00993686">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B9109B" w:rsidRPr="008B7D28" w:rsidRDefault="00993686" w:rsidP="00993686">
      <w:pPr>
        <w:spacing w:after="120" w:line="240" w:lineRule="auto"/>
        <w:ind w:left="567" w:right="260"/>
        <w:rPr>
          <w:rFonts w:cs="Arial"/>
          <w:iCs/>
        </w:rPr>
      </w:pPr>
      <w:r w:rsidRPr="00993686">
        <w:rPr>
          <w:rFonts w:cs="Arial"/>
          <w:iCs/>
        </w:rPr>
        <w:t>Single Honours and Joint Honours Undergraduate Programmes in E</w:t>
      </w:r>
      <w:r>
        <w:rPr>
          <w:rFonts w:cs="Arial"/>
          <w:iCs/>
        </w:rPr>
        <w:t xml:space="preserve">nglish and American Literature; </w:t>
      </w:r>
      <w:r w:rsidRPr="00993686">
        <w:rPr>
          <w:rFonts w:cs="Arial"/>
          <w:iCs/>
        </w:rPr>
        <w:t>English, American and Postcolonial Literatures; English and American Li</w:t>
      </w:r>
      <w:r>
        <w:rPr>
          <w:rFonts w:cs="Arial"/>
          <w:iCs/>
        </w:rPr>
        <w:t xml:space="preserve">terature and Creative Writing; </w:t>
      </w:r>
      <w:r w:rsidRPr="00993686">
        <w:rPr>
          <w:rFonts w:cs="Arial"/>
          <w:iCs/>
        </w:rPr>
        <w:t>Contemporary Literature</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993686" w:rsidRPr="00993686" w:rsidRDefault="00993686" w:rsidP="00993686">
      <w:pPr>
        <w:spacing w:after="120" w:line="240" w:lineRule="auto"/>
        <w:ind w:left="540" w:right="260" w:hanging="540"/>
        <w:rPr>
          <w:rFonts w:cs="Arial"/>
          <w:iCs/>
        </w:rPr>
      </w:pPr>
      <w:r w:rsidRPr="00993686">
        <w:rPr>
          <w:rFonts w:cs="Arial"/>
          <w:iCs/>
        </w:rPr>
        <w:lastRenderedPageBreak/>
        <w:t>8.1</w:t>
      </w:r>
      <w:r w:rsidRPr="00993686">
        <w:rPr>
          <w:rFonts w:cs="Arial"/>
          <w:iCs/>
        </w:rPr>
        <w:tab/>
        <w:t>demonstrate their capacity for close reading and critical analysis and applied these skills to their practice</w:t>
      </w:r>
    </w:p>
    <w:p w:rsidR="00993686" w:rsidRPr="00993686" w:rsidRDefault="00993686" w:rsidP="00993686">
      <w:pPr>
        <w:spacing w:after="120" w:line="240" w:lineRule="auto"/>
        <w:ind w:left="540" w:right="260" w:hanging="540"/>
        <w:rPr>
          <w:rFonts w:cs="Arial"/>
          <w:iCs/>
        </w:rPr>
      </w:pPr>
      <w:r w:rsidRPr="00993686">
        <w:rPr>
          <w:rFonts w:cs="Arial"/>
          <w:iCs/>
        </w:rPr>
        <w:t>8.2</w:t>
      </w:r>
      <w:r w:rsidRPr="00993686">
        <w:rPr>
          <w:rFonts w:cs="Arial"/>
          <w:iCs/>
        </w:rPr>
        <w:tab/>
        <w:t>identify, critically evaluate and interrogate particular literary techniques and publishing practices found in modern and contemporary poetry and prose and made use of them in their book publishing project</w:t>
      </w:r>
    </w:p>
    <w:p w:rsidR="00993686" w:rsidRPr="00993686" w:rsidRDefault="00993686" w:rsidP="00993686">
      <w:pPr>
        <w:spacing w:after="120" w:line="240" w:lineRule="auto"/>
        <w:ind w:left="540" w:right="260" w:hanging="540"/>
        <w:rPr>
          <w:rFonts w:cs="Arial"/>
          <w:iCs/>
        </w:rPr>
      </w:pPr>
      <w:r w:rsidRPr="00993686">
        <w:rPr>
          <w:rFonts w:cs="Arial"/>
          <w:iCs/>
        </w:rPr>
        <w:t>8.3</w:t>
      </w:r>
      <w:r w:rsidRPr="00993686">
        <w:rPr>
          <w:rFonts w:cs="Arial"/>
          <w:iCs/>
        </w:rPr>
        <w:tab/>
        <w:t>reflect on the wide range of stylistic practices open to the contemporary writer and develop an understanding of how these relate to their own practice</w:t>
      </w:r>
    </w:p>
    <w:p w:rsidR="00993686" w:rsidRPr="00993686" w:rsidRDefault="00993686" w:rsidP="00993686">
      <w:pPr>
        <w:spacing w:after="120" w:line="240" w:lineRule="auto"/>
        <w:ind w:left="540" w:right="260" w:hanging="540"/>
        <w:rPr>
          <w:rFonts w:cs="Arial"/>
          <w:iCs/>
        </w:rPr>
      </w:pPr>
      <w:r w:rsidRPr="00993686">
        <w:rPr>
          <w:rFonts w:cs="Arial"/>
          <w:iCs/>
        </w:rPr>
        <w:t>8.4</w:t>
      </w:r>
      <w:r w:rsidRPr="00993686">
        <w:rPr>
          <w:rFonts w:cs="Arial"/>
          <w:iCs/>
        </w:rPr>
        <w:tab/>
        <w:t>confidently apply advanced poetry and fiction techniques within their work</w:t>
      </w:r>
    </w:p>
    <w:p w:rsidR="00993686" w:rsidRPr="00993686" w:rsidRDefault="00993686" w:rsidP="00993686">
      <w:pPr>
        <w:spacing w:after="120" w:line="240" w:lineRule="auto"/>
        <w:ind w:left="540" w:right="260" w:hanging="540"/>
        <w:rPr>
          <w:rFonts w:cs="Arial"/>
          <w:iCs/>
        </w:rPr>
      </w:pPr>
      <w:r w:rsidRPr="00993686">
        <w:rPr>
          <w:rFonts w:cs="Arial"/>
          <w:iCs/>
        </w:rPr>
        <w:t>8.5</w:t>
      </w:r>
      <w:r w:rsidRPr="00993686">
        <w:rPr>
          <w:rFonts w:cs="Arial"/>
          <w:iCs/>
        </w:rPr>
        <w:tab/>
        <w:t>understand through practice the value of drafting, editing and publishing</w:t>
      </w:r>
    </w:p>
    <w:p w:rsidR="009A2D37" w:rsidRPr="008B7D28" w:rsidRDefault="00993686" w:rsidP="00993686">
      <w:pPr>
        <w:spacing w:after="120" w:line="240" w:lineRule="auto"/>
        <w:ind w:left="540" w:right="260" w:hanging="540"/>
        <w:rPr>
          <w:rFonts w:cs="Arial"/>
        </w:rPr>
      </w:pPr>
      <w:r w:rsidRPr="00993686">
        <w:rPr>
          <w:rFonts w:cs="Arial"/>
          <w:iCs/>
        </w:rPr>
        <w:t>8.6</w:t>
      </w:r>
      <w:r w:rsidRPr="00993686">
        <w:rPr>
          <w:rFonts w:cs="Arial"/>
          <w:iCs/>
        </w:rPr>
        <w:tab/>
        <w:t>plan and undertake a portfolio of poems or prose which demonstrates a developed sense of their relationship between their work and its audience</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993686" w:rsidRPr="002A1CF5" w:rsidRDefault="00993686" w:rsidP="00993686">
      <w:pPr>
        <w:numPr>
          <w:ilvl w:val="0"/>
          <w:numId w:val="10"/>
        </w:numPr>
        <w:spacing w:after="120" w:line="240" w:lineRule="auto"/>
        <w:ind w:left="540" w:hanging="540"/>
      </w:pPr>
      <w:r>
        <w:t>demonstrate</w:t>
      </w:r>
      <w:r w:rsidRPr="002A1CF5">
        <w:t xml:space="preserve"> enhanced creative writing skills and a critical language through problem solving</w:t>
      </w:r>
    </w:p>
    <w:p w:rsidR="00993686" w:rsidRPr="002A1CF5" w:rsidRDefault="00993686" w:rsidP="00993686">
      <w:pPr>
        <w:numPr>
          <w:ilvl w:val="0"/>
          <w:numId w:val="10"/>
        </w:numPr>
        <w:spacing w:after="120" w:line="240" w:lineRule="auto"/>
        <w:ind w:left="540" w:hanging="540"/>
      </w:pPr>
      <w:r w:rsidRPr="002A1CF5">
        <w:t>apply that language to their own work, through collective and self-criticism, and develop individual critical acumen</w:t>
      </w:r>
    </w:p>
    <w:p w:rsidR="00993686" w:rsidRPr="002A1CF5" w:rsidRDefault="00993686" w:rsidP="00993686">
      <w:pPr>
        <w:numPr>
          <w:ilvl w:val="0"/>
          <w:numId w:val="10"/>
        </w:numPr>
        <w:spacing w:after="120" w:line="240" w:lineRule="auto"/>
        <w:ind w:left="540" w:hanging="540"/>
      </w:pPr>
      <w:r w:rsidRPr="002A1CF5">
        <w:t>develop</w:t>
      </w:r>
      <w:r>
        <w:t xml:space="preserve"> </w:t>
      </w:r>
      <w:r w:rsidRPr="002A1CF5">
        <w:t>sympathy with traditions other than those in which they themselves are working</w:t>
      </w:r>
    </w:p>
    <w:p w:rsidR="00993686" w:rsidRPr="002A1CF5" w:rsidRDefault="00993686" w:rsidP="00993686">
      <w:pPr>
        <w:numPr>
          <w:ilvl w:val="0"/>
          <w:numId w:val="10"/>
        </w:numPr>
        <w:spacing w:after="120" w:line="240" w:lineRule="auto"/>
        <w:ind w:left="540" w:hanging="540"/>
      </w:pPr>
      <w:r>
        <w:t xml:space="preserve">demonstrate </w:t>
      </w:r>
      <w:r w:rsidRPr="002A1CF5">
        <w:t>communication as a key skill, with a capacity to argue a point of view, orally and in written form, with clarity, organisation and cogency</w:t>
      </w:r>
    </w:p>
    <w:p w:rsidR="00993686" w:rsidRPr="002A1CF5" w:rsidRDefault="00993686" w:rsidP="00993686">
      <w:pPr>
        <w:numPr>
          <w:ilvl w:val="0"/>
          <w:numId w:val="10"/>
        </w:numPr>
        <w:spacing w:after="120" w:line="240" w:lineRule="auto"/>
        <w:ind w:left="540" w:hanging="540"/>
      </w:pPr>
      <w:r>
        <w:t xml:space="preserve">demonstrate </w:t>
      </w:r>
      <w:r w:rsidRPr="002A1CF5">
        <w:t>increased confidence and ability to work in group situations, by working with others</w:t>
      </w:r>
    </w:p>
    <w:p w:rsidR="00993686" w:rsidRPr="002A1CF5" w:rsidRDefault="00993686" w:rsidP="00993686">
      <w:pPr>
        <w:numPr>
          <w:ilvl w:val="0"/>
          <w:numId w:val="10"/>
        </w:numPr>
        <w:spacing w:after="120" w:line="240" w:lineRule="auto"/>
        <w:ind w:left="540" w:hanging="540"/>
      </w:pPr>
      <w:r>
        <w:lastRenderedPageBreak/>
        <w:t xml:space="preserve">demonstrate </w:t>
      </w:r>
      <w:r w:rsidRPr="002A1CF5">
        <w:t>advanced communicative and collaborative skills, which include intellectual work and finely tuned listening skills</w:t>
      </w:r>
    </w:p>
    <w:p w:rsidR="00993686" w:rsidRDefault="00993686" w:rsidP="00993686">
      <w:pPr>
        <w:numPr>
          <w:ilvl w:val="0"/>
          <w:numId w:val="10"/>
        </w:numPr>
        <w:spacing w:after="120" w:line="240" w:lineRule="auto"/>
        <w:ind w:left="540" w:hanging="540"/>
      </w:pPr>
      <w:r>
        <w:t xml:space="preserve">demonstrate </w:t>
      </w:r>
      <w:r w:rsidRPr="002A1CF5">
        <w:t>substantial capacity for independent imaginative and practice-based projects and research, and improving their own learning and performance</w:t>
      </w:r>
    </w:p>
    <w:p w:rsidR="00993686" w:rsidRDefault="00993686" w:rsidP="00993686">
      <w:pPr>
        <w:numPr>
          <w:ilvl w:val="0"/>
          <w:numId w:val="10"/>
        </w:numPr>
        <w:spacing w:after="120" w:line="240" w:lineRule="auto"/>
        <w:ind w:left="540" w:hanging="540"/>
      </w:pPr>
      <w:r w:rsidRPr="002A1CF5">
        <w:t>gather and evaluate a range of materials from diverse contexts, using</w:t>
      </w:r>
      <w:r>
        <w:t xml:space="preserve"> i</w:t>
      </w:r>
      <w:r w:rsidRPr="002A1CF5">
        <w:t>nformation and communication technology</w:t>
      </w:r>
      <w:r>
        <w:t xml:space="preserve"> </w:t>
      </w:r>
    </w:p>
    <w:p w:rsidR="009A2D37" w:rsidRPr="008B7D28" w:rsidRDefault="009A2D37" w:rsidP="00696FF5">
      <w:pPr>
        <w:spacing w:after="120" w:line="240" w:lineRule="auto"/>
        <w:ind w:left="567" w:right="260"/>
        <w:jc w:val="both"/>
        <w:rPr>
          <w:rFonts w:cs="Arial"/>
        </w:rPr>
      </w:pPr>
      <w:r w:rsidRPr="008B7D28">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rsidR="00C57028" w:rsidRPr="008B7D28" w:rsidRDefault="00993686" w:rsidP="00696FF5">
      <w:pPr>
        <w:spacing w:after="120" w:line="240" w:lineRule="auto"/>
        <w:ind w:left="567" w:right="260"/>
        <w:jc w:val="both"/>
        <w:rPr>
          <w:rFonts w:cs="Arial"/>
          <w:iCs/>
        </w:rPr>
      </w:pPr>
      <w:r w:rsidRPr="002A1CF5">
        <w:t xml:space="preserve">‘The Book Project’ contributes to the poetry and prose strands of the BA in English and American Literature and Creative Writing at Stage 3. The objective of ‘The Book Project’ is to give students as close an experience as possible of what it might be like to publish a small book of creative writing in a genre of their choice.  The main emphasis will be on producing a body of creative work for the main assessment, with book production using print-on-demand technology, which has become available over the last three years, a book launch and seminar performance making up the rest of the assessment.  We will look at the difference between vanity publishing and the long and honourable tradition of self-publishing from William Blake to the small press networks of the late Twentieth and early Twenty-first Centuries.  Students will be encouraged to work to a standard of professional publishing.  This module aims to enable students to develop their practice of writing through both the study of a range of contemporary examples and practices, and constructive feedback on their own work. Each week, students will be exposed to a wide range of instances of exemplary, contemporary work (as suggested by the indicative reading list). They will be encouraged to read as writers and think like small press publishers, to apply appropriate writing and book production techniques to their own practice and to experiment with voice, form and content. The </w:t>
      </w:r>
      <w:r w:rsidRPr="002A1CF5">
        <w:lastRenderedPageBreak/>
        <w:t>approach to the exemplary texts will be technical and historical. At every point in the module, priority will be given to students’ own development as writers. It is an assumption of the module that students will already have a basic competence in the writing of poetry and prose from their experience of modules at Stages 1 and 2, including a grasp of essential craft and techniques. The purpose of this module will be to stimulate students towards further development of, and to hone, their already emerging voices and styles in relation to, and through engaging with various literary texts, raising an awareness of publishing practice historically, and contemporary new technologies.</w:t>
      </w:r>
      <w:r w:rsidR="00C57028" w:rsidRPr="008B7D28">
        <w:rPr>
          <w:rFonts w:cs="Arial"/>
          <w:iCs/>
        </w:rPr>
        <w:t xml:space="preserve"> </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5D222D" w:rsidRPr="005D222D" w:rsidRDefault="005D222D" w:rsidP="005D222D">
      <w:pPr>
        <w:pStyle w:val="ListParagraph"/>
        <w:tabs>
          <w:tab w:val="left" w:pos="567"/>
          <w:tab w:val="left" w:pos="851"/>
        </w:tabs>
        <w:jc w:val="both"/>
        <w:rPr>
          <w:rFonts w:cs="Arial"/>
        </w:rPr>
      </w:pPr>
      <w:r w:rsidRPr="005D222D">
        <w:rPr>
          <w:rFonts w:cs="Arial"/>
        </w:rPr>
        <w:t xml:space="preserve">BLAKE, WILLIAM, (2000) </w:t>
      </w:r>
      <w:proofErr w:type="gramStart"/>
      <w:r w:rsidRPr="005D222D">
        <w:rPr>
          <w:rFonts w:cs="Arial"/>
          <w:i/>
        </w:rPr>
        <w:t>The</w:t>
      </w:r>
      <w:proofErr w:type="gramEnd"/>
      <w:r w:rsidRPr="005D222D">
        <w:rPr>
          <w:rFonts w:cs="Arial"/>
          <w:i/>
        </w:rPr>
        <w:t xml:space="preserve"> Complete Illuminated Books</w:t>
      </w:r>
      <w:r w:rsidRPr="005D222D">
        <w:rPr>
          <w:rFonts w:cs="Arial"/>
        </w:rPr>
        <w:t>, London: Thames and Hudson</w:t>
      </w:r>
    </w:p>
    <w:p w:rsidR="005D222D" w:rsidRPr="005D222D" w:rsidRDefault="005D222D" w:rsidP="005D222D">
      <w:pPr>
        <w:pStyle w:val="ListParagraph"/>
        <w:tabs>
          <w:tab w:val="left" w:pos="567"/>
          <w:tab w:val="left" w:pos="851"/>
        </w:tabs>
        <w:jc w:val="both"/>
        <w:rPr>
          <w:rFonts w:cs="Arial"/>
        </w:rPr>
      </w:pPr>
      <w:r w:rsidRPr="005D222D">
        <w:rPr>
          <w:rFonts w:cs="Arial"/>
        </w:rPr>
        <w:t xml:space="preserve">BLAKE, WILLIAM, (2013) </w:t>
      </w:r>
      <w:r w:rsidRPr="005D222D">
        <w:rPr>
          <w:rFonts w:cs="Arial"/>
          <w:i/>
        </w:rPr>
        <w:t>Songs of Innocence and Experience</w:t>
      </w:r>
      <w:r w:rsidRPr="005D222D">
        <w:rPr>
          <w:rFonts w:cs="Arial"/>
        </w:rPr>
        <w:t>, London: Create Space</w:t>
      </w:r>
    </w:p>
    <w:p w:rsidR="005D222D" w:rsidRPr="005D222D" w:rsidRDefault="005D222D" w:rsidP="005D222D">
      <w:pPr>
        <w:pStyle w:val="ListParagraph"/>
        <w:tabs>
          <w:tab w:val="left" w:pos="567"/>
          <w:tab w:val="left" w:pos="851"/>
        </w:tabs>
        <w:jc w:val="both"/>
        <w:rPr>
          <w:rFonts w:cs="Arial"/>
        </w:rPr>
      </w:pPr>
      <w:r w:rsidRPr="005D222D">
        <w:rPr>
          <w:rFonts w:cs="Arial"/>
        </w:rPr>
        <w:t xml:space="preserve">BRANDE, D. (1981) </w:t>
      </w:r>
      <w:r w:rsidRPr="005D222D">
        <w:rPr>
          <w:rFonts w:cs="Arial"/>
          <w:i/>
        </w:rPr>
        <w:t>Becoming a Writer</w:t>
      </w:r>
      <w:r w:rsidRPr="005D222D">
        <w:rPr>
          <w:rFonts w:cs="Arial"/>
        </w:rPr>
        <w:t xml:space="preserve"> New York: Jeremy P. </w:t>
      </w:r>
      <w:proofErr w:type="spellStart"/>
      <w:r w:rsidRPr="005D222D">
        <w:rPr>
          <w:rFonts w:cs="Arial"/>
        </w:rPr>
        <w:t>Tarcher</w:t>
      </w:r>
      <w:proofErr w:type="spellEnd"/>
      <w:r w:rsidRPr="005D222D">
        <w:rPr>
          <w:rFonts w:cs="Arial"/>
        </w:rPr>
        <w:t>/Putnam</w:t>
      </w:r>
    </w:p>
    <w:p w:rsidR="005D222D" w:rsidRPr="005D222D" w:rsidRDefault="005D222D" w:rsidP="005D222D">
      <w:pPr>
        <w:pStyle w:val="ListParagraph"/>
        <w:tabs>
          <w:tab w:val="left" w:pos="567"/>
          <w:tab w:val="left" w:pos="851"/>
        </w:tabs>
        <w:jc w:val="both"/>
        <w:rPr>
          <w:rFonts w:cs="Arial"/>
        </w:rPr>
      </w:pPr>
      <w:r w:rsidRPr="005D222D">
        <w:rPr>
          <w:rFonts w:cs="Arial"/>
        </w:rPr>
        <w:t xml:space="preserve">ELIOT, T.S. (1986) </w:t>
      </w:r>
      <w:proofErr w:type="gramStart"/>
      <w:r w:rsidRPr="005D222D">
        <w:rPr>
          <w:rFonts w:cs="Arial"/>
          <w:i/>
        </w:rPr>
        <w:t>The</w:t>
      </w:r>
      <w:proofErr w:type="gramEnd"/>
      <w:r w:rsidRPr="005D222D">
        <w:rPr>
          <w:rFonts w:cs="Arial"/>
          <w:i/>
        </w:rPr>
        <w:t xml:space="preserve"> Waste Land</w:t>
      </w:r>
      <w:r w:rsidRPr="005D222D">
        <w:rPr>
          <w:rFonts w:cs="Arial"/>
        </w:rPr>
        <w:t>: Facsimile Edition, London: Faber and Faber</w:t>
      </w:r>
    </w:p>
    <w:p w:rsidR="005D222D" w:rsidRDefault="005D222D" w:rsidP="005D222D">
      <w:pPr>
        <w:pStyle w:val="ListParagraph"/>
        <w:tabs>
          <w:tab w:val="left" w:pos="567"/>
          <w:tab w:val="left" w:pos="851"/>
        </w:tabs>
        <w:jc w:val="both"/>
        <w:rPr>
          <w:rFonts w:cs="Arial"/>
        </w:rPr>
      </w:pPr>
      <w:r w:rsidRPr="005D222D">
        <w:rPr>
          <w:rFonts w:cs="Arial"/>
        </w:rPr>
        <w:t xml:space="preserve">JOHNSON, B.S. (1999) </w:t>
      </w:r>
      <w:proofErr w:type="gramStart"/>
      <w:r w:rsidRPr="005D222D">
        <w:rPr>
          <w:rFonts w:cs="Arial"/>
          <w:i/>
        </w:rPr>
        <w:t>The</w:t>
      </w:r>
      <w:proofErr w:type="gramEnd"/>
      <w:r w:rsidRPr="005D222D">
        <w:rPr>
          <w:rFonts w:cs="Arial"/>
          <w:i/>
        </w:rPr>
        <w:t xml:space="preserve"> Unfortunates</w:t>
      </w:r>
      <w:r w:rsidRPr="005D222D">
        <w:rPr>
          <w:rFonts w:cs="Arial"/>
        </w:rPr>
        <w:t>, London: Picador</w:t>
      </w:r>
    </w:p>
    <w:p w:rsidR="005D222D" w:rsidRPr="005D222D" w:rsidRDefault="005D222D" w:rsidP="005D222D">
      <w:pPr>
        <w:pStyle w:val="ListParagraph"/>
        <w:tabs>
          <w:tab w:val="left" w:pos="567"/>
          <w:tab w:val="left" w:pos="851"/>
        </w:tabs>
        <w:jc w:val="both"/>
        <w:rPr>
          <w:rFonts w:cs="Arial"/>
        </w:rPr>
      </w:pPr>
      <w:r w:rsidRPr="005D222D">
        <w:rPr>
          <w:rFonts w:cs="Arial"/>
        </w:rPr>
        <w:t xml:space="preserve">MILLER, </w:t>
      </w:r>
      <w:proofErr w:type="gramStart"/>
      <w:r w:rsidRPr="005D222D">
        <w:rPr>
          <w:rFonts w:cs="Arial"/>
        </w:rPr>
        <w:t>DAVID  &amp;</w:t>
      </w:r>
      <w:proofErr w:type="gramEnd"/>
      <w:r w:rsidRPr="005D222D">
        <w:rPr>
          <w:rFonts w:cs="Arial"/>
        </w:rPr>
        <w:t xml:space="preserve"> PRICE, RICHARD, (2006) </w:t>
      </w:r>
      <w:r w:rsidRPr="005D222D">
        <w:rPr>
          <w:rFonts w:cs="Arial"/>
          <w:i/>
          <w:lang w:bidi="en-US"/>
        </w:rPr>
        <w:t>British Poetry Magazines 1914-2000: A History and Bibliography of Little Magazines</w:t>
      </w:r>
      <w:r w:rsidRPr="005D222D">
        <w:rPr>
          <w:rFonts w:cs="Arial"/>
          <w:lang w:bidi="en-US"/>
        </w:rPr>
        <w:t>, London: Oak Knoll</w:t>
      </w:r>
    </w:p>
    <w:p w:rsidR="005D222D" w:rsidRPr="005D222D" w:rsidRDefault="005D222D" w:rsidP="005D222D">
      <w:pPr>
        <w:pStyle w:val="ListParagraph"/>
        <w:tabs>
          <w:tab w:val="left" w:pos="567"/>
          <w:tab w:val="left" w:pos="851"/>
        </w:tabs>
        <w:jc w:val="both"/>
        <w:rPr>
          <w:rFonts w:cs="Arial"/>
          <w:lang w:bidi="en-US"/>
        </w:rPr>
      </w:pPr>
      <w:r w:rsidRPr="005D222D">
        <w:rPr>
          <w:rFonts w:cs="Arial"/>
          <w:lang w:bidi="en-US"/>
        </w:rPr>
        <w:t xml:space="preserve">POUND, EZRA, (1965) </w:t>
      </w:r>
      <w:proofErr w:type="gramStart"/>
      <w:r w:rsidRPr="005D222D">
        <w:rPr>
          <w:rFonts w:cs="Arial"/>
          <w:i/>
          <w:lang w:bidi="en-US"/>
        </w:rPr>
        <w:t>A</w:t>
      </w:r>
      <w:proofErr w:type="gramEnd"/>
      <w:r w:rsidRPr="005D222D">
        <w:rPr>
          <w:rFonts w:cs="Arial"/>
          <w:i/>
          <w:lang w:bidi="en-US"/>
        </w:rPr>
        <w:t xml:space="preserve"> </w:t>
      </w:r>
      <w:proofErr w:type="spellStart"/>
      <w:r w:rsidRPr="005D222D">
        <w:rPr>
          <w:rFonts w:cs="Arial"/>
          <w:i/>
          <w:lang w:bidi="en-US"/>
        </w:rPr>
        <w:t>Lume</w:t>
      </w:r>
      <w:proofErr w:type="spellEnd"/>
      <w:r w:rsidRPr="005D222D">
        <w:rPr>
          <w:rFonts w:cs="Arial"/>
          <w:i/>
          <w:lang w:bidi="en-US"/>
        </w:rPr>
        <w:t xml:space="preserve"> </w:t>
      </w:r>
      <w:proofErr w:type="spellStart"/>
      <w:r w:rsidRPr="005D222D">
        <w:rPr>
          <w:rFonts w:cs="Arial"/>
          <w:i/>
          <w:lang w:bidi="en-US"/>
        </w:rPr>
        <w:t>Spento</w:t>
      </w:r>
      <w:proofErr w:type="spellEnd"/>
      <w:r w:rsidRPr="005D222D">
        <w:rPr>
          <w:rFonts w:cs="Arial"/>
          <w:lang w:bidi="en-US"/>
        </w:rPr>
        <w:t>, New York: New Directions</w:t>
      </w:r>
    </w:p>
    <w:p w:rsidR="005D222D" w:rsidRPr="005D222D" w:rsidRDefault="005D222D" w:rsidP="005D222D">
      <w:pPr>
        <w:pStyle w:val="ListParagraph"/>
        <w:tabs>
          <w:tab w:val="left" w:pos="567"/>
          <w:tab w:val="left" w:pos="851"/>
        </w:tabs>
        <w:jc w:val="both"/>
        <w:rPr>
          <w:rFonts w:cs="Arial"/>
        </w:rPr>
      </w:pPr>
      <w:bookmarkStart w:id="0" w:name="_GoBack"/>
      <w:r w:rsidRPr="005D222D">
        <w:rPr>
          <w:rFonts w:cs="Arial"/>
        </w:rPr>
        <w:t xml:space="preserve">SMITH, </w:t>
      </w:r>
      <w:proofErr w:type="gramStart"/>
      <w:r w:rsidRPr="005D222D">
        <w:rPr>
          <w:rFonts w:cs="Arial"/>
        </w:rPr>
        <w:t>A.M  (</w:t>
      </w:r>
      <w:proofErr w:type="gramEnd"/>
      <w:r w:rsidRPr="005D222D">
        <w:rPr>
          <w:rFonts w:cs="Arial"/>
        </w:rPr>
        <w:t xml:space="preserve">2018) </w:t>
      </w:r>
      <w:r w:rsidRPr="005D222D">
        <w:rPr>
          <w:rFonts w:cs="Arial"/>
          <w:i/>
        </w:rPr>
        <w:t>Writers’ and Artists’ Yearbook 2019</w:t>
      </w:r>
      <w:r w:rsidRPr="005D222D">
        <w:rPr>
          <w:rFonts w:cs="Arial"/>
        </w:rPr>
        <w:t xml:space="preserve">, London: Bloomsbury </w:t>
      </w:r>
    </w:p>
    <w:bookmarkEnd w:id="0"/>
    <w:p w:rsidR="005D222D" w:rsidRPr="005D222D" w:rsidRDefault="005D222D" w:rsidP="005D222D">
      <w:pPr>
        <w:pStyle w:val="ListParagraph"/>
        <w:tabs>
          <w:tab w:val="left" w:pos="567"/>
          <w:tab w:val="left" w:pos="851"/>
        </w:tabs>
        <w:jc w:val="both"/>
        <w:rPr>
          <w:rFonts w:cs="Arial"/>
        </w:rPr>
      </w:pPr>
      <w:r w:rsidRPr="005D222D">
        <w:rPr>
          <w:rFonts w:cs="Arial"/>
        </w:rPr>
        <w:t xml:space="preserve">STRUNK, W. &amp; WHITE, E.B. (1999) </w:t>
      </w:r>
      <w:r w:rsidRPr="005D222D">
        <w:rPr>
          <w:rFonts w:cs="Arial"/>
          <w:i/>
        </w:rPr>
        <w:t>The Elements of Style</w:t>
      </w:r>
      <w:proofErr w:type="gramStart"/>
      <w:r w:rsidRPr="005D222D">
        <w:rPr>
          <w:rFonts w:cs="Arial"/>
        </w:rPr>
        <w:t>,  London</w:t>
      </w:r>
      <w:proofErr w:type="gramEnd"/>
      <w:r w:rsidRPr="005D222D">
        <w:rPr>
          <w:rFonts w:cs="Arial"/>
        </w:rPr>
        <w:t>: Pearson</w:t>
      </w:r>
    </w:p>
    <w:p w:rsidR="005D222D" w:rsidRPr="005D222D" w:rsidRDefault="005D222D" w:rsidP="005D222D">
      <w:pPr>
        <w:pStyle w:val="ListParagraph"/>
        <w:tabs>
          <w:tab w:val="left" w:pos="567"/>
          <w:tab w:val="left" w:pos="851"/>
        </w:tabs>
        <w:jc w:val="both"/>
        <w:rPr>
          <w:rFonts w:cs="Arial"/>
          <w:sz w:val="24"/>
          <w:szCs w:val="24"/>
        </w:rPr>
      </w:pPr>
      <w:r w:rsidRPr="005D222D">
        <w:rPr>
          <w:rFonts w:cs="Arial"/>
        </w:rPr>
        <w:t xml:space="preserve">TURNER, B (2017) </w:t>
      </w:r>
      <w:proofErr w:type="gramStart"/>
      <w:r w:rsidRPr="005D222D">
        <w:rPr>
          <w:rFonts w:cs="Arial"/>
          <w:i/>
        </w:rPr>
        <w:t>The</w:t>
      </w:r>
      <w:proofErr w:type="gramEnd"/>
      <w:r w:rsidRPr="005D222D">
        <w:rPr>
          <w:rFonts w:cs="Arial"/>
          <w:i/>
        </w:rPr>
        <w:t xml:space="preserve"> Writers’ Handbook 2018</w:t>
      </w:r>
      <w:r w:rsidRPr="005D222D">
        <w:rPr>
          <w:rFonts w:cs="Arial"/>
        </w:rPr>
        <w:t>, London: Dyson</w:t>
      </w:r>
    </w:p>
    <w:p w:rsidR="009B5F1C" w:rsidRDefault="009B5F1C" w:rsidP="009B5F1C">
      <w:pPr>
        <w:spacing w:after="0" w:line="240" w:lineRule="auto"/>
        <w:ind w:left="562" w:right="260"/>
        <w:jc w:val="both"/>
        <w:rPr>
          <w:i/>
          <w:sz w:val="24"/>
          <w:szCs w:val="24"/>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lastRenderedPageBreak/>
        <w:t>Total contact hours:</w:t>
      </w:r>
      <w:r w:rsidR="008B7D28" w:rsidRPr="008B7D28">
        <w:rPr>
          <w:rFonts w:cs="Arial"/>
          <w:iCs/>
        </w:rPr>
        <w:tab/>
      </w:r>
      <w:r w:rsidR="008E3063">
        <w:rPr>
          <w:rFonts w:cs="Arial"/>
          <w:iCs/>
        </w:rPr>
        <w:tab/>
      </w:r>
      <w:r w:rsidR="00993686">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993686">
        <w:rPr>
          <w:rFonts w:cs="Arial"/>
          <w:iCs/>
        </w:rPr>
        <w:t>270</w:t>
      </w:r>
    </w:p>
    <w:p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993686">
        <w:rPr>
          <w:rFonts w:cs="Arial"/>
          <w:iCs/>
        </w:rPr>
        <w:t>300</w:t>
      </w:r>
    </w:p>
    <w:p w:rsidR="009B5F1C" w:rsidRDefault="009B5F1C">
      <w:pPr>
        <w:rPr>
          <w:rFonts w:cs="Arial"/>
          <w:iCs/>
        </w:rPr>
      </w:pPr>
      <w:r>
        <w:rPr>
          <w:rFonts w:cs="Arial"/>
          <w:iCs/>
        </w:rPr>
        <w:br w:type="page"/>
      </w: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lastRenderedPageBreak/>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993686" w:rsidRPr="00993686" w:rsidRDefault="00993686" w:rsidP="00993686">
      <w:pPr>
        <w:spacing w:after="120" w:line="240" w:lineRule="auto"/>
        <w:ind w:left="567" w:right="260"/>
        <w:jc w:val="both"/>
        <w:rPr>
          <w:rFonts w:cs="Arial"/>
          <w:iCs/>
        </w:rPr>
      </w:pPr>
      <w:r w:rsidRPr="00993686">
        <w:rPr>
          <w:rFonts w:cs="Arial"/>
          <w:iCs/>
        </w:rPr>
        <w:t xml:space="preserve">Portfolio </w:t>
      </w:r>
      <w:r>
        <w:rPr>
          <w:rFonts w:cs="Arial"/>
          <w:iCs/>
        </w:rPr>
        <w:tab/>
      </w:r>
      <w:r>
        <w:rPr>
          <w:rFonts w:cs="Arial"/>
          <w:iCs/>
        </w:rPr>
        <w:tab/>
      </w:r>
      <w:r>
        <w:rPr>
          <w:rFonts w:cs="Arial"/>
          <w:iCs/>
        </w:rPr>
        <w:tab/>
      </w:r>
      <w:r>
        <w:rPr>
          <w:rFonts w:cs="Arial"/>
          <w:iCs/>
        </w:rPr>
        <w:tab/>
      </w:r>
      <w:r>
        <w:rPr>
          <w:rFonts w:cs="Arial"/>
          <w:iCs/>
        </w:rPr>
        <w:tab/>
        <w:t>6,000 words</w:t>
      </w:r>
      <w:r>
        <w:rPr>
          <w:rFonts w:cs="Arial"/>
          <w:iCs/>
        </w:rPr>
        <w:tab/>
      </w:r>
      <w:r>
        <w:rPr>
          <w:rFonts w:cs="Arial"/>
          <w:iCs/>
        </w:rPr>
        <w:tab/>
      </w:r>
      <w:r>
        <w:rPr>
          <w:rFonts w:cs="Arial"/>
          <w:iCs/>
        </w:rPr>
        <w:tab/>
        <w:t>70%</w:t>
      </w:r>
      <w:r>
        <w:rPr>
          <w:rFonts w:cs="Arial"/>
          <w:iCs/>
        </w:rPr>
        <w:tab/>
      </w:r>
    </w:p>
    <w:p w:rsidR="00993686" w:rsidRPr="00993686" w:rsidRDefault="00993686" w:rsidP="00993686">
      <w:pPr>
        <w:spacing w:after="120" w:line="240" w:lineRule="auto"/>
        <w:ind w:left="567" w:right="260"/>
        <w:jc w:val="both"/>
        <w:rPr>
          <w:rFonts w:cs="Arial"/>
          <w:iCs/>
        </w:rPr>
      </w:pPr>
      <w:r>
        <w:rPr>
          <w:rFonts w:cs="Arial"/>
          <w:iCs/>
        </w:rPr>
        <w:t>P</w:t>
      </w:r>
      <w:r w:rsidRPr="00993686">
        <w:rPr>
          <w:rFonts w:cs="Arial"/>
          <w:iCs/>
        </w:rPr>
        <w:t>rint-on-demand publication</w:t>
      </w:r>
      <w:r>
        <w:rPr>
          <w:rFonts w:cs="Arial"/>
          <w:iCs/>
        </w:rPr>
        <w:tab/>
      </w:r>
      <w:r>
        <w:rPr>
          <w:rFonts w:cs="Arial"/>
          <w:iCs/>
        </w:rPr>
        <w:tab/>
      </w:r>
      <w:r>
        <w:rPr>
          <w:rFonts w:cs="Arial"/>
          <w:iCs/>
        </w:rPr>
        <w:tab/>
      </w:r>
      <w:r>
        <w:rPr>
          <w:rFonts w:cs="Arial"/>
          <w:iCs/>
        </w:rPr>
        <w:tab/>
      </w:r>
      <w:r>
        <w:rPr>
          <w:rFonts w:cs="Arial"/>
          <w:iCs/>
        </w:rPr>
        <w:tab/>
      </w:r>
      <w:r>
        <w:rPr>
          <w:rFonts w:cs="Arial"/>
          <w:iCs/>
        </w:rPr>
        <w:tab/>
        <w:t>20%</w:t>
      </w:r>
      <w:r>
        <w:rPr>
          <w:rFonts w:cs="Arial"/>
          <w:iCs/>
        </w:rPr>
        <w:tab/>
      </w:r>
    </w:p>
    <w:p w:rsidR="007A6245" w:rsidRPr="008B7D28" w:rsidRDefault="00993686" w:rsidP="00993686">
      <w:pPr>
        <w:spacing w:after="120" w:line="240" w:lineRule="auto"/>
        <w:ind w:left="567" w:right="260"/>
        <w:jc w:val="both"/>
        <w:rPr>
          <w:rFonts w:cs="Arial"/>
          <w:b/>
          <w:iCs/>
        </w:rPr>
      </w:pPr>
      <w:r w:rsidRPr="00993686">
        <w:rPr>
          <w:rFonts w:cs="Arial"/>
          <w:iCs/>
        </w:rPr>
        <w:t>Seminar/workshop performance</w:t>
      </w:r>
      <w:r w:rsidR="00C57028" w:rsidRPr="008B7D28">
        <w:rPr>
          <w:rFonts w:cs="Arial"/>
          <w:iCs/>
        </w:rPr>
        <w:t xml:space="preserve"> </w:t>
      </w:r>
      <w:r>
        <w:rPr>
          <w:rFonts w:cs="Arial"/>
          <w:iCs/>
        </w:rPr>
        <w:tab/>
      </w:r>
      <w:r>
        <w:rPr>
          <w:rFonts w:cs="Arial"/>
          <w:iCs/>
        </w:rPr>
        <w:tab/>
      </w:r>
      <w:r>
        <w:rPr>
          <w:rFonts w:cs="Arial"/>
          <w:iCs/>
        </w:rPr>
        <w:tab/>
      </w:r>
      <w:r>
        <w:rPr>
          <w:rFonts w:cs="Arial"/>
          <w:iCs/>
        </w:rPr>
        <w:tab/>
      </w:r>
      <w:r>
        <w:rPr>
          <w:rFonts w:cs="Arial"/>
          <w:iCs/>
        </w:rPr>
        <w:tab/>
        <w:t>10%</w:t>
      </w: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C57028" w:rsidRPr="008B7D28" w:rsidRDefault="00BC5144" w:rsidP="00C57028">
      <w:pPr>
        <w:spacing w:after="120" w:line="240" w:lineRule="auto"/>
        <w:ind w:left="567" w:right="260"/>
        <w:jc w:val="both"/>
        <w:rPr>
          <w:rFonts w:cs="Arial"/>
          <w:b/>
          <w:iCs/>
        </w:rPr>
      </w:pPr>
      <w:r w:rsidRPr="009B5F1C">
        <w:rPr>
          <w:rFonts w:cs="Arial"/>
          <w:iCs/>
        </w:rPr>
        <w:t>Like for Like.</w:t>
      </w:r>
      <w:r w:rsidR="00C57028" w:rsidRPr="008B7D28">
        <w:rPr>
          <w:rFonts w:cs="Arial"/>
          <w:iCs/>
        </w:rPr>
        <w:t xml:space="preserve"> </w:t>
      </w: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833" w:type="dxa"/>
        <w:tblInd w:w="108" w:type="dxa"/>
        <w:tblLayout w:type="fixed"/>
        <w:tblLook w:val="04A0" w:firstRow="1" w:lastRow="0" w:firstColumn="1" w:lastColumn="0" w:noHBand="0" w:noVBand="1"/>
      </w:tblPr>
      <w:tblGrid>
        <w:gridCol w:w="4121"/>
        <w:gridCol w:w="408"/>
        <w:gridCol w:w="408"/>
        <w:gridCol w:w="408"/>
        <w:gridCol w:w="408"/>
        <w:gridCol w:w="408"/>
        <w:gridCol w:w="408"/>
        <w:gridCol w:w="408"/>
        <w:gridCol w:w="408"/>
        <w:gridCol w:w="408"/>
        <w:gridCol w:w="408"/>
        <w:gridCol w:w="408"/>
        <w:gridCol w:w="408"/>
        <w:gridCol w:w="408"/>
        <w:gridCol w:w="408"/>
      </w:tblGrid>
      <w:tr w:rsidR="00993686" w:rsidRPr="008B7D28" w:rsidTr="00993686">
        <w:trPr>
          <w:cantSplit/>
          <w:trHeight w:val="593"/>
        </w:trPr>
        <w:tc>
          <w:tcPr>
            <w:tcW w:w="4121" w:type="dxa"/>
            <w:shd w:val="clear" w:color="auto" w:fill="D9D9D9" w:themeFill="background1" w:themeFillShade="D9"/>
          </w:tcPr>
          <w:p w:rsidR="00993686" w:rsidRPr="008B7D28" w:rsidRDefault="00993686" w:rsidP="00302082">
            <w:pPr>
              <w:spacing w:after="120"/>
              <w:ind w:left="33"/>
              <w:rPr>
                <w:rFonts w:cs="Arial"/>
                <w:b/>
              </w:rPr>
            </w:pPr>
            <w:r w:rsidRPr="008B7D28">
              <w:rPr>
                <w:rFonts w:cs="Arial"/>
                <w:b/>
              </w:rPr>
              <w:t>Module learning outcome</w:t>
            </w:r>
          </w:p>
        </w:tc>
        <w:tc>
          <w:tcPr>
            <w:tcW w:w="408" w:type="dxa"/>
            <w:textDirection w:val="btLr"/>
          </w:tcPr>
          <w:p w:rsidR="00993686" w:rsidRPr="008B7D28" w:rsidRDefault="00993686" w:rsidP="00993686">
            <w:pPr>
              <w:spacing w:after="120"/>
              <w:ind w:left="113" w:right="113"/>
              <w:rPr>
                <w:rFonts w:cs="Arial"/>
              </w:rPr>
            </w:pPr>
            <w:r w:rsidRPr="008B7D28">
              <w:rPr>
                <w:rFonts w:cs="Arial"/>
              </w:rPr>
              <w:t>8.1</w:t>
            </w:r>
          </w:p>
        </w:tc>
        <w:tc>
          <w:tcPr>
            <w:tcW w:w="408" w:type="dxa"/>
            <w:textDirection w:val="btLr"/>
          </w:tcPr>
          <w:p w:rsidR="00993686" w:rsidRPr="008B7D28" w:rsidRDefault="00993686" w:rsidP="00993686">
            <w:pPr>
              <w:spacing w:after="120"/>
              <w:ind w:left="113" w:right="113"/>
              <w:rPr>
                <w:rFonts w:cs="Arial"/>
              </w:rPr>
            </w:pPr>
            <w:r w:rsidRPr="008B7D28">
              <w:rPr>
                <w:rFonts w:cs="Arial"/>
              </w:rPr>
              <w:t>8.2</w:t>
            </w:r>
          </w:p>
        </w:tc>
        <w:tc>
          <w:tcPr>
            <w:tcW w:w="408" w:type="dxa"/>
            <w:textDirection w:val="btLr"/>
          </w:tcPr>
          <w:p w:rsidR="00993686" w:rsidRPr="008B7D28" w:rsidRDefault="00993686" w:rsidP="00993686">
            <w:pPr>
              <w:spacing w:after="120"/>
              <w:ind w:left="113" w:right="113"/>
              <w:rPr>
                <w:rFonts w:cs="Arial"/>
              </w:rPr>
            </w:pPr>
            <w:r w:rsidRPr="008B7D28">
              <w:rPr>
                <w:rFonts w:cs="Arial"/>
              </w:rPr>
              <w:t>8.3</w:t>
            </w:r>
          </w:p>
        </w:tc>
        <w:tc>
          <w:tcPr>
            <w:tcW w:w="408" w:type="dxa"/>
            <w:textDirection w:val="btLr"/>
          </w:tcPr>
          <w:p w:rsidR="00993686" w:rsidRPr="008B7D28" w:rsidRDefault="00993686" w:rsidP="00993686">
            <w:pPr>
              <w:spacing w:after="120"/>
              <w:ind w:left="113" w:right="113"/>
              <w:rPr>
                <w:rFonts w:cs="Arial"/>
              </w:rPr>
            </w:pPr>
            <w:r w:rsidRPr="008B7D28">
              <w:rPr>
                <w:rFonts w:cs="Arial"/>
              </w:rPr>
              <w:t>8.4</w:t>
            </w:r>
          </w:p>
        </w:tc>
        <w:tc>
          <w:tcPr>
            <w:tcW w:w="408" w:type="dxa"/>
            <w:textDirection w:val="btLr"/>
          </w:tcPr>
          <w:p w:rsidR="00993686" w:rsidRPr="008B7D28" w:rsidRDefault="00993686" w:rsidP="00993686">
            <w:pPr>
              <w:spacing w:after="120"/>
              <w:ind w:left="113" w:right="113"/>
              <w:rPr>
                <w:rFonts w:cs="Arial"/>
              </w:rPr>
            </w:pPr>
            <w:r w:rsidRPr="008B7D28">
              <w:rPr>
                <w:rFonts w:cs="Arial"/>
              </w:rPr>
              <w:t>8.5</w:t>
            </w:r>
          </w:p>
        </w:tc>
        <w:tc>
          <w:tcPr>
            <w:tcW w:w="408" w:type="dxa"/>
            <w:textDirection w:val="btLr"/>
          </w:tcPr>
          <w:p w:rsidR="00993686" w:rsidRPr="008B7D28" w:rsidRDefault="00993686" w:rsidP="00993686">
            <w:pPr>
              <w:spacing w:after="120"/>
              <w:ind w:left="113" w:right="113"/>
              <w:rPr>
                <w:rFonts w:cs="Arial"/>
              </w:rPr>
            </w:pPr>
            <w:r w:rsidRPr="008B7D28">
              <w:rPr>
                <w:rFonts w:cs="Arial"/>
              </w:rPr>
              <w:t>8.6</w:t>
            </w:r>
          </w:p>
        </w:tc>
        <w:tc>
          <w:tcPr>
            <w:tcW w:w="408" w:type="dxa"/>
            <w:textDirection w:val="btLr"/>
          </w:tcPr>
          <w:p w:rsidR="00993686" w:rsidRPr="008B7D28" w:rsidRDefault="00993686" w:rsidP="00993686">
            <w:pPr>
              <w:spacing w:after="120"/>
              <w:ind w:left="113" w:right="113"/>
              <w:rPr>
                <w:rFonts w:cs="Arial"/>
              </w:rPr>
            </w:pPr>
            <w:r w:rsidRPr="008B7D28">
              <w:rPr>
                <w:rFonts w:cs="Arial"/>
              </w:rPr>
              <w:t>9.1</w:t>
            </w:r>
          </w:p>
        </w:tc>
        <w:tc>
          <w:tcPr>
            <w:tcW w:w="408" w:type="dxa"/>
            <w:textDirection w:val="btLr"/>
          </w:tcPr>
          <w:p w:rsidR="00993686" w:rsidRPr="008B7D28" w:rsidRDefault="00993686" w:rsidP="00993686">
            <w:pPr>
              <w:spacing w:after="120"/>
              <w:ind w:left="113" w:right="113"/>
              <w:rPr>
                <w:rFonts w:cs="Arial"/>
              </w:rPr>
            </w:pPr>
            <w:r>
              <w:rPr>
                <w:rFonts w:cs="Arial"/>
              </w:rPr>
              <w:t>9.2</w:t>
            </w:r>
          </w:p>
        </w:tc>
        <w:tc>
          <w:tcPr>
            <w:tcW w:w="408" w:type="dxa"/>
            <w:textDirection w:val="btLr"/>
          </w:tcPr>
          <w:p w:rsidR="00993686" w:rsidRPr="008B7D28" w:rsidRDefault="00993686" w:rsidP="00993686">
            <w:pPr>
              <w:spacing w:after="120"/>
              <w:ind w:left="113" w:right="113"/>
              <w:rPr>
                <w:rFonts w:cs="Arial"/>
              </w:rPr>
            </w:pPr>
            <w:r>
              <w:rPr>
                <w:rFonts w:cs="Arial"/>
              </w:rPr>
              <w:t>9.3</w:t>
            </w:r>
          </w:p>
        </w:tc>
        <w:tc>
          <w:tcPr>
            <w:tcW w:w="408" w:type="dxa"/>
            <w:textDirection w:val="btLr"/>
          </w:tcPr>
          <w:p w:rsidR="00993686" w:rsidRPr="008B7D28" w:rsidRDefault="00993686" w:rsidP="00993686">
            <w:pPr>
              <w:spacing w:after="120"/>
              <w:ind w:left="113" w:right="113"/>
              <w:rPr>
                <w:rFonts w:cs="Arial"/>
              </w:rPr>
            </w:pPr>
            <w:r>
              <w:rPr>
                <w:rFonts w:cs="Arial"/>
              </w:rPr>
              <w:t>9.4</w:t>
            </w:r>
          </w:p>
        </w:tc>
        <w:tc>
          <w:tcPr>
            <w:tcW w:w="408" w:type="dxa"/>
            <w:textDirection w:val="btLr"/>
          </w:tcPr>
          <w:p w:rsidR="00993686" w:rsidRPr="008B7D28" w:rsidRDefault="00993686" w:rsidP="00993686">
            <w:pPr>
              <w:spacing w:after="120"/>
              <w:ind w:left="113" w:right="113"/>
              <w:rPr>
                <w:rFonts w:cs="Arial"/>
              </w:rPr>
            </w:pPr>
            <w:r>
              <w:rPr>
                <w:rFonts w:cs="Arial"/>
              </w:rPr>
              <w:t>9.5</w:t>
            </w:r>
          </w:p>
        </w:tc>
        <w:tc>
          <w:tcPr>
            <w:tcW w:w="408" w:type="dxa"/>
            <w:textDirection w:val="btLr"/>
          </w:tcPr>
          <w:p w:rsidR="00993686" w:rsidRPr="008B7D28" w:rsidRDefault="00993686" w:rsidP="00993686">
            <w:pPr>
              <w:spacing w:after="120"/>
              <w:ind w:left="113" w:right="113"/>
              <w:rPr>
                <w:rFonts w:cs="Arial"/>
              </w:rPr>
            </w:pPr>
            <w:r>
              <w:rPr>
                <w:rFonts w:cs="Arial"/>
              </w:rPr>
              <w:t>9.6</w:t>
            </w:r>
          </w:p>
        </w:tc>
        <w:tc>
          <w:tcPr>
            <w:tcW w:w="408" w:type="dxa"/>
            <w:textDirection w:val="btLr"/>
          </w:tcPr>
          <w:p w:rsidR="00993686" w:rsidRPr="008B7D28" w:rsidRDefault="00993686" w:rsidP="00993686">
            <w:pPr>
              <w:spacing w:after="120"/>
              <w:ind w:left="113" w:right="113"/>
              <w:rPr>
                <w:rFonts w:cs="Arial"/>
              </w:rPr>
            </w:pPr>
            <w:r>
              <w:rPr>
                <w:rFonts w:cs="Arial"/>
              </w:rPr>
              <w:t>9.7</w:t>
            </w:r>
          </w:p>
        </w:tc>
        <w:tc>
          <w:tcPr>
            <w:tcW w:w="408" w:type="dxa"/>
            <w:textDirection w:val="btLr"/>
          </w:tcPr>
          <w:p w:rsidR="00993686" w:rsidRPr="008B7D28" w:rsidRDefault="00993686" w:rsidP="00993686">
            <w:pPr>
              <w:spacing w:after="120"/>
              <w:ind w:left="113" w:right="113"/>
              <w:rPr>
                <w:rFonts w:cs="Arial"/>
              </w:rPr>
            </w:pPr>
            <w:r>
              <w:rPr>
                <w:rFonts w:cs="Arial"/>
              </w:rPr>
              <w:t>9.8</w:t>
            </w:r>
          </w:p>
        </w:tc>
      </w:tr>
      <w:tr w:rsidR="00993686" w:rsidRPr="008B7D28" w:rsidTr="00993686">
        <w:trPr>
          <w:trHeight w:val="69"/>
        </w:trPr>
        <w:tc>
          <w:tcPr>
            <w:tcW w:w="4121" w:type="dxa"/>
            <w:shd w:val="clear" w:color="auto" w:fill="D9D9D9" w:themeFill="background1" w:themeFillShade="D9"/>
          </w:tcPr>
          <w:p w:rsidR="00993686" w:rsidRPr="008B7D28" w:rsidRDefault="00993686" w:rsidP="00302082">
            <w:pPr>
              <w:spacing w:after="120"/>
              <w:rPr>
                <w:rFonts w:cs="Arial"/>
                <w:b/>
              </w:rPr>
            </w:pPr>
            <w:r w:rsidRPr="008B7D28">
              <w:rPr>
                <w:rFonts w:cs="Arial"/>
                <w:b/>
              </w:rPr>
              <w:t>Learning/ teaching method</w:t>
            </w: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c>
          <w:tcPr>
            <w:tcW w:w="408" w:type="dxa"/>
          </w:tcPr>
          <w:p w:rsidR="00993686" w:rsidRPr="008B7D28" w:rsidRDefault="00993686" w:rsidP="00302082">
            <w:pPr>
              <w:spacing w:after="120"/>
              <w:rPr>
                <w:rFonts w:cs="Arial"/>
                <w:b/>
              </w:rPr>
            </w:pPr>
          </w:p>
        </w:tc>
      </w:tr>
      <w:tr w:rsidR="00993686" w:rsidRPr="008B7D28" w:rsidTr="00993686">
        <w:trPr>
          <w:trHeight w:val="342"/>
        </w:trPr>
        <w:tc>
          <w:tcPr>
            <w:tcW w:w="4121" w:type="dxa"/>
          </w:tcPr>
          <w:p w:rsidR="00993686" w:rsidRPr="008B7D28" w:rsidRDefault="00993686" w:rsidP="00993686">
            <w:pPr>
              <w:spacing w:after="120"/>
              <w:rPr>
                <w:rFonts w:cs="Arial"/>
              </w:rPr>
            </w:pPr>
            <w:r w:rsidRPr="008B7D28">
              <w:rPr>
                <w:rFonts w:cs="Arial"/>
              </w:rPr>
              <w:t>Private Study</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r>
      <w:tr w:rsidR="00993686" w:rsidRPr="008B7D28" w:rsidTr="00993686">
        <w:trPr>
          <w:trHeight w:val="357"/>
        </w:trPr>
        <w:tc>
          <w:tcPr>
            <w:tcW w:w="4121" w:type="dxa"/>
          </w:tcPr>
          <w:p w:rsidR="00993686" w:rsidRPr="008B7D28" w:rsidRDefault="00993686" w:rsidP="00993686">
            <w:pPr>
              <w:spacing w:after="120"/>
              <w:rPr>
                <w:rFonts w:cs="Arial"/>
              </w:rPr>
            </w:pPr>
            <w:r>
              <w:rPr>
                <w:rFonts w:cs="Arial"/>
              </w:rPr>
              <w:t>Seminars</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Default="00993686" w:rsidP="00993686">
            <w:pPr>
              <w:spacing w:after="120"/>
              <w:rPr>
                <w:rFonts w:cs="Arial"/>
                <w:b/>
              </w:rPr>
            </w:pPr>
          </w:p>
        </w:tc>
        <w:tc>
          <w:tcPr>
            <w:tcW w:w="408" w:type="dxa"/>
          </w:tcPr>
          <w:p w:rsidR="00993686" w:rsidRDefault="00993686" w:rsidP="00993686">
            <w:pPr>
              <w:spacing w:after="120"/>
              <w:rPr>
                <w:rFonts w:cs="Arial"/>
                <w:b/>
              </w:rPr>
            </w:pPr>
          </w:p>
        </w:tc>
      </w:tr>
      <w:tr w:rsidR="00993686" w:rsidRPr="008B7D28" w:rsidTr="00993686">
        <w:trPr>
          <w:trHeight w:val="357"/>
        </w:trPr>
        <w:tc>
          <w:tcPr>
            <w:tcW w:w="4121" w:type="dxa"/>
          </w:tcPr>
          <w:p w:rsidR="00993686" w:rsidRPr="008B7D28" w:rsidRDefault="00993686" w:rsidP="00993686">
            <w:pPr>
              <w:spacing w:after="120"/>
              <w:rPr>
                <w:rFonts w:cs="Arial"/>
              </w:rPr>
            </w:pPr>
            <w:r>
              <w:rPr>
                <w:rFonts w:cs="Arial"/>
              </w:rPr>
              <w:t>Workshops</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Default="00993686" w:rsidP="00993686">
            <w:pPr>
              <w:spacing w:after="120"/>
              <w:rPr>
                <w:rFonts w:cs="Arial"/>
                <w:b/>
              </w:rPr>
            </w:pPr>
          </w:p>
        </w:tc>
        <w:tc>
          <w:tcPr>
            <w:tcW w:w="408" w:type="dxa"/>
          </w:tcPr>
          <w:p w:rsidR="00993686" w:rsidRDefault="00993686" w:rsidP="00993686">
            <w:pPr>
              <w:spacing w:after="120"/>
              <w:rPr>
                <w:rFonts w:cs="Arial"/>
                <w:b/>
              </w:rPr>
            </w:pPr>
          </w:p>
        </w:tc>
      </w:tr>
      <w:tr w:rsidR="00993686" w:rsidRPr="008B7D28" w:rsidTr="00993686">
        <w:trPr>
          <w:trHeight w:val="229"/>
        </w:trPr>
        <w:tc>
          <w:tcPr>
            <w:tcW w:w="4121" w:type="dxa"/>
            <w:shd w:val="clear" w:color="auto" w:fill="D9D9D9" w:themeFill="background1" w:themeFillShade="D9"/>
          </w:tcPr>
          <w:p w:rsidR="00993686" w:rsidRPr="008B7D28" w:rsidRDefault="00993686" w:rsidP="00993686">
            <w:pPr>
              <w:spacing w:after="120"/>
              <w:rPr>
                <w:rFonts w:cs="Arial"/>
                <w:b/>
              </w:rPr>
            </w:pPr>
            <w:r w:rsidRPr="008B7D28">
              <w:rPr>
                <w:rFonts w:cs="Arial"/>
                <w:b/>
              </w:rPr>
              <w:t>Assessment method</w:t>
            </w: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c>
          <w:tcPr>
            <w:tcW w:w="408" w:type="dxa"/>
          </w:tcPr>
          <w:p w:rsidR="00993686" w:rsidRPr="008B7D28" w:rsidRDefault="00993686" w:rsidP="00993686">
            <w:pPr>
              <w:spacing w:after="120"/>
              <w:rPr>
                <w:rFonts w:cs="Arial"/>
                <w:b/>
              </w:rPr>
            </w:pPr>
          </w:p>
        </w:tc>
      </w:tr>
      <w:tr w:rsidR="00993686" w:rsidRPr="008B7D28" w:rsidTr="00993686">
        <w:trPr>
          <w:trHeight w:val="342"/>
        </w:trPr>
        <w:tc>
          <w:tcPr>
            <w:tcW w:w="4121" w:type="dxa"/>
          </w:tcPr>
          <w:p w:rsidR="00993686" w:rsidRPr="00993686" w:rsidRDefault="00993686" w:rsidP="00993686">
            <w:pPr>
              <w:spacing w:after="120"/>
              <w:rPr>
                <w:rFonts w:cs="Arial"/>
              </w:rPr>
            </w:pPr>
            <w:r w:rsidRPr="00993686">
              <w:rPr>
                <w:rFonts w:cs="Arial"/>
              </w:rPr>
              <w:lastRenderedPageBreak/>
              <w:t>Portfolio of work</w:t>
            </w:r>
            <w:r>
              <w:rPr>
                <w:rFonts w:cs="Arial"/>
              </w:rPr>
              <w:t xml:space="preserve"> (6,000 words)</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Default="00993686" w:rsidP="00993686">
            <w:pPr>
              <w:spacing w:after="120"/>
              <w:rPr>
                <w:rFonts w:cs="Arial"/>
                <w:b/>
              </w:rPr>
            </w:pPr>
            <w:r>
              <w:rPr>
                <w:rFonts w:cs="Arial"/>
                <w:b/>
              </w:rPr>
              <w:t>x</w:t>
            </w:r>
          </w:p>
        </w:tc>
        <w:tc>
          <w:tcPr>
            <w:tcW w:w="408" w:type="dxa"/>
          </w:tcPr>
          <w:p w:rsidR="00993686" w:rsidRDefault="00993686" w:rsidP="00993686">
            <w:pPr>
              <w:spacing w:after="120"/>
              <w:rPr>
                <w:rFonts w:cs="Arial"/>
                <w:b/>
              </w:rPr>
            </w:pPr>
            <w:r>
              <w:rPr>
                <w:rFonts w:cs="Arial"/>
                <w:b/>
              </w:rPr>
              <w:t>x</w:t>
            </w:r>
          </w:p>
        </w:tc>
      </w:tr>
      <w:tr w:rsidR="00993686" w:rsidRPr="008B7D28" w:rsidTr="00993686">
        <w:trPr>
          <w:trHeight w:val="357"/>
        </w:trPr>
        <w:tc>
          <w:tcPr>
            <w:tcW w:w="4121" w:type="dxa"/>
          </w:tcPr>
          <w:p w:rsidR="00993686" w:rsidRPr="00993686" w:rsidRDefault="00993686" w:rsidP="00993686">
            <w:pPr>
              <w:spacing w:after="120"/>
              <w:rPr>
                <w:rFonts w:cs="Arial"/>
              </w:rPr>
            </w:pPr>
            <w:r>
              <w:rPr>
                <w:rFonts w:cs="Arial"/>
              </w:rPr>
              <w:t>P</w:t>
            </w:r>
            <w:r w:rsidRPr="00993686">
              <w:rPr>
                <w:rFonts w:cs="Arial"/>
              </w:rPr>
              <w:t>rint-on-demand publication</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r>
      <w:tr w:rsidR="00993686" w:rsidRPr="008B7D28" w:rsidTr="00993686">
        <w:trPr>
          <w:trHeight w:val="389"/>
        </w:trPr>
        <w:tc>
          <w:tcPr>
            <w:tcW w:w="4121" w:type="dxa"/>
          </w:tcPr>
          <w:p w:rsidR="00993686" w:rsidRPr="00993686" w:rsidRDefault="00993686" w:rsidP="00993686">
            <w:pPr>
              <w:rPr>
                <w:rFonts w:cs="Arial"/>
              </w:rPr>
            </w:pPr>
            <w:r w:rsidRPr="00993686">
              <w:rPr>
                <w:rFonts w:cs="Arial"/>
              </w:rPr>
              <w:t>Seminar/workshop performance</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Pr="00302082" w:rsidRDefault="00993686" w:rsidP="00993686">
            <w:pPr>
              <w:spacing w:after="120"/>
              <w:rPr>
                <w:rFonts w:cs="Arial"/>
                <w:b/>
              </w:rPr>
            </w:pPr>
            <w:r>
              <w:rPr>
                <w:rFonts w:cs="Arial"/>
                <w:b/>
              </w:rPr>
              <w:t>x</w:t>
            </w:r>
          </w:p>
        </w:tc>
        <w:tc>
          <w:tcPr>
            <w:tcW w:w="408" w:type="dxa"/>
          </w:tcPr>
          <w:p w:rsidR="00993686" w:rsidRDefault="00993686" w:rsidP="00993686">
            <w:pPr>
              <w:spacing w:after="120"/>
              <w:rPr>
                <w:rFonts w:cs="Arial"/>
                <w:b/>
              </w:rPr>
            </w:pPr>
          </w:p>
        </w:tc>
        <w:tc>
          <w:tcPr>
            <w:tcW w:w="408" w:type="dxa"/>
          </w:tcPr>
          <w:p w:rsidR="00993686" w:rsidRDefault="00993686" w:rsidP="00993686">
            <w:pPr>
              <w:spacing w:after="120"/>
              <w:rPr>
                <w:rFonts w:cs="Arial"/>
                <w:b/>
              </w:rPr>
            </w:pP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Pr="008B7D28" w:rsidRDefault="008B7D28" w:rsidP="00696FF5">
      <w:pPr>
        <w:spacing w:after="120" w:line="240" w:lineRule="auto"/>
        <w:ind w:left="567" w:right="260"/>
        <w:jc w:val="both"/>
        <w:rPr>
          <w:rFonts w:cs="Arial"/>
          <w:b/>
        </w:rPr>
      </w:pPr>
      <w:r w:rsidRPr="008B7D28">
        <w:rPr>
          <w:rFonts w:cs="Arial"/>
        </w:rPr>
        <w:t>Canterbury</w:t>
      </w: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B7D28" w:rsidRPr="008B7D28" w:rsidRDefault="00993686" w:rsidP="008B7D28">
      <w:pPr>
        <w:spacing w:after="120" w:line="240" w:lineRule="auto"/>
        <w:ind w:left="567" w:right="261"/>
        <w:jc w:val="both"/>
        <w:rPr>
          <w:rFonts w:cs="Arial"/>
          <w:b/>
        </w:rPr>
      </w:pPr>
      <w:r w:rsidRPr="00852003">
        <w:rPr>
          <w:rFonts w:cs="Arial"/>
        </w:rPr>
        <w:lastRenderedPageBreak/>
        <w:t>In the general context of teaching, this module discusses issues of language and gender, as they are expressed in a variety of cultures and languages.  These issues are also featured in the main topic of the final project, if a student wishes to work on how specific gender-related and linguistic differences are expressed in the context of their creative project.</w:t>
      </w:r>
    </w:p>
    <w:p w:rsidR="009B5F1C" w:rsidRDefault="009B5F1C">
      <w:pPr>
        <w:rPr>
          <w:rFonts w:cs="Arial"/>
          <w:b/>
        </w:rPr>
      </w:pPr>
      <w:r>
        <w:rPr>
          <w:rFonts w:cs="Arial"/>
          <w:b/>
        </w:rPr>
        <w:br w:type="page"/>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rsidTr="00694309">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701" w:type="dxa"/>
          </w:tcPr>
          <w:p w:rsidR="00422B69" w:rsidRPr="008B7D28" w:rsidRDefault="00422B69" w:rsidP="00302082">
            <w:pPr>
              <w:spacing w:after="120"/>
              <w:rPr>
                <w:rFonts w:cs="Arial"/>
                <w:sz w:val="18"/>
              </w:rPr>
            </w:pPr>
            <w:r w:rsidRPr="008B7D28">
              <w:rPr>
                <w:rFonts w:cs="Arial"/>
                <w:sz w:val="18"/>
              </w:rPr>
              <w:t>Major/minor revision</w:t>
            </w:r>
          </w:p>
        </w:tc>
        <w:tc>
          <w:tcPr>
            <w:tcW w:w="2410"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9B5F1C" w:rsidRPr="008B7D28" w:rsidTr="00694309">
        <w:trPr>
          <w:trHeight w:val="305"/>
        </w:trPr>
        <w:tc>
          <w:tcPr>
            <w:tcW w:w="1526" w:type="dxa"/>
          </w:tcPr>
          <w:p w:rsidR="009B5F1C" w:rsidRPr="009A257E" w:rsidRDefault="009B5F1C" w:rsidP="009B5F1C">
            <w:pPr>
              <w:spacing w:after="120"/>
              <w:ind w:right="-330"/>
              <w:rPr>
                <w:rFonts w:cs="Arial"/>
                <w:sz w:val="18"/>
              </w:rPr>
            </w:pPr>
            <w:r w:rsidRPr="009A257E">
              <w:rPr>
                <w:rFonts w:cs="Arial"/>
                <w:sz w:val="18"/>
              </w:rPr>
              <w:t>07/02/17</w:t>
            </w:r>
          </w:p>
        </w:tc>
        <w:tc>
          <w:tcPr>
            <w:tcW w:w="1701" w:type="dxa"/>
          </w:tcPr>
          <w:p w:rsidR="009B5F1C" w:rsidRPr="009A257E" w:rsidRDefault="009B5F1C" w:rsidP="009B5F1C">
            <w:pPr>
              <w:spacing w:after="120"/>
              <w:ind w:right="-330"/>
              <w:rPr>
                <w:rFonts w:cs="Arial"/>
                <w:sz w:val="18"/>
              </w:rPr>
            </w:pPr>
            <w:r w:rsidRPr="009A257E">
              <w:rPr>
                <w:rFonts w:cs="Arial"/>
                <w:sz w:val="18"/>
              </w:rPr>
              <w:t>Minor</w:t>
            </w:r>
          </w:p>
        </w:tc>
        <w:tc>
          <w:tcPr>
            <w:tcW w:w="2410" w:type="dxa"/>
          </w:tcPr>
          <w:p w:rsidR="009B5F1C" w:rsidRPr="009A257E" w:rsidRDefault="009B5F1C" w:rsidP="009B5F1C">
            <w:pPr>
              <w:spacing w:after="120"/>
              <w:ind w:right="-330"/>
              <w:rPr>
                <w:rFonts w:cs="Arial"/>
                <w:sz w:val="18"/>
              </w:rPr>
            </w:pPr>
            <w:r w:rsidRPr="009A257E">
              <w:rPr>
                <w:rFonts w:cs="Arial"/>
                <w:sz w:val="18"/>
              </w:rPr>
              <w:t>September 2017</w:t>
            </w:r>
          </w:p>
        </w:tc>
        <w:tc>
          <w:tcPr>
            <w:tcW w:w="2448" w:type="dxa"/>
          </w:tcPr>
          <w:p w:rsidR="009B5F1C" w:rsidRPr="009A257E" w:rsidRDefault="009B5F1C" w:rsidP="009B5F1C">
            <w:pPr>
              <w:spacing w:after="120"/>
              <w:ind w:right="-330"/>
              <w:rPr>
                <w:rFonts w:cs="Arial"/>
                <w:sz w:val="18"/>
              </w:rPr>
            </w:pPr>
            <w:r w:rsidRPr="009A257E">
              <w:rPr>
                <w:rFonts w:cs="Arial"/>
                <w:sz w:val="18"/>
              </w:rPr>
              <w:t>6, 7, 11, 12</w:t>
            </w:r>
          </w:p>
        </w:tc>
        <w:tc>
          <w:tcPr>
            <w:tcW w:w="2597" w:type="dxa"/>
          </w:tcPr>
          <w:p w:rsidR="009B5F1C" w:rsidRPr="009A257E" w:rsidRDefault="009B5F1C" w:rsidP="009B5F1C">
            <w:pPr>
              <w:spacing w:after="120"/>
              <w:ind w:right="-330"/>
              <w:rPr>
                <w:rFonts w:cs="Arial"/>
                <w:sz w:val="18"/>
              </w:rPr>
            </w:pPr>
            <w:r w:rsidRPr="009A257E">
              <w:rPr>
                <w:rFonts w:cs="Arial"/>
                <w:sz w:val="18"/>
              </w:rPr>
              <w:t>No</w:t>
            </w:r>
          </w:p>
        </w:tc>
      </w:tr>
      <w:tr w:rsidR="009B5F1C" w:rsidRPr="008B7D28" w:rsidTr="00694309">
        <w:trPr>
          <w:trHeight w:val="305"/>
        </w:trPr>
        <w:tc>
          <w:tcPr>
            <w:tcW w:w="1526" w:type="dxa"/>
          </w:tcPr>
          <w:p w:rsidR="009B5F1C" w:rsidRPr="008B7D28" w:rsidRDefault="009B5F1C" w:rsidP="009B5F1C">
            <w:pPr>
              <w:spacing w:after="120"/>
              <w:ind w:right="-330"/>
              <w:rPr>
                <w:rFonts w:cs="Arial"/>
              </w:rPr>
            </w:pPr>
          </w:p>
        </w:tc>
        <w:tc>
          <w:tcPr>
            <w:tcW w:w="1701" w:type="dxa"/>
          </w:tcPr>
          <w:p w:rsidR="009B5F1C" w:rsidRPr="008B7D28" w:rsidRDefault="009B5F1C" w:rsidP="009B5F1C">
            <w:pPr>
              <w:spacing w:after="120"/>
              <w:ind w:right="-330"/>
              <w:rPr>
                <w:rFonts w:cs="Arial"/>
              </w:rPr>
            </w:pPr>
          </w:p>
        </w:tc>
        <w:tc>
          <w:tcPr>
            <w:tcW w:w="2410" w:type="dxa"/>
          </w:tcPr>
          <w:p w:rsidR="009B5F1C" w:rsidRPr="008B7D28" w:rsidRDefault="009B5F1C" w:rsidP="009B5F1C">
            <w:pPr>
              <w:spacing w:after="120"/>
              <w:ind w:right="-330"/>
              <w:rPr>
                <w:rFonts w:cs="Arial"/>
              </w:rPr>
            </w:pPr>
          </w:p>
        </w:tc>
        <w:tc>
          <w:tcPr>
            <w:tcW w:w="2448" w:type="dxa"/>
          </w:tcPr>
          <w:p w:rsidR="009B5F1C" w:rsidRPr="008B7D28" w:rsidRDefault="009B5F1C" w:rsidP="009B5F1C">
            <w:pPr>
              <w:spacing w:after="120"/>
              <w:ind w:right="-330"/>
              <w:rPr>
                <w:rFonts w:cs="Arial"/>
              </w:rPr>
            </w:pPr>
          </w:p>
        </w:tc>
        <w:tc>
          <w:tcPr>
            <w:tcW w:w="2597" w:type="dxa"/>
          </w:tcPr>
          <w:p w:rsidR="009B5F1C" w:rsidRPr="008B7D28" w:rsidRDefault="009B5F1C" w:rsidP="009B5F1C">
            <w:pPr>
              <w:spacing w:after="120"/>
              <w:ind w:right="-330"/>
              <w:rPr>
                <w:rFonts w:cs="Arial"/>
              </w:rPr>
            </w:pP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B4" w:rsidRDefault="000055B4" w:rsidP="009A2D37">
      <w:pPr>
        <w:spacing w:after="0" w:line="240" w:lineRule="auto"/>
      </w:pPr>
      <w:r>
        <w:separator/>
      </w:r>
    </w:p>
  </w:endnote>
  <w:endnote w:type="continuationSeparator" w:id="0">
    <w:p w:rsidR="000055B4" w:rsidRDefault="000055B4" w:rsidP="009A2D37">
      <w:pPr>
        <w:spacing w:after="0" w:line="240" w:lineRule="auto"/>
      </w:pPr>
      <w:r>
        <w:continuationSeparator/>
      </w:r>
    </w:p>
  </w:endnote>
  <w:endnote w:type="continuationNotice" w:id="1">
    <w:p w:rsidR="000055B4" w:rsidRDefault="00005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20FAC">
          <w:rPr>
            <w:noProof/>
          </w:rPr>
          <w:t>4</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B4" w:rsidRDefault="000055B4" w:rsidP="009A2D37">
      <w:pPr>
        <w:spacing w:after="0" w:line="240" w:lineRule="auto"/>
      </w:pPr>
      <w:r>
        <w:separator/>
      </w:r>
    </w:p>
  </w:footnote>
  <w:footnote w:type="continuationSeparator" w:id="0">
    <w:p w:rsidR="000055B4" w:rsidRDefault="000055B4" w:rsidP="009A2D37">
      <w:pPr>
        <w:spacing w:after="0" w:line="240" w:lineRule="auto"/>
      </w:pPr>
      <w:r>
        <w:continuationSeparator/>
      </w:r>
    </w:p>
  </w:footnote>
  <w:footnote w:type="continuationNotice" w:id="1">
    <w:p w:rsidR="000055B4" w:rsidRDefault="000055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3B5618"/>
    <w:multiLevelType w:val="hybridMultilevel"/>
    <w:tmpl w:val="4D9AA2C0"/>
    <w:lvl w:ilvl="0" w:tplc="B310FD04">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4"/>
    <w:rsid w:val="00000C8C"/>
    <w:rsid w:val="000017F2"/>
    <w:rsid w:val="0000456B"/>
    <w:rsid w:val="000055B4"/>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22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C2B"/>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7DB4"/>
    <w:rsid w:val="0099029D"/>
    <w:rsid w:val="00993686"/>
    <w:rsid w:val="00996204"/>
    <w:rsid w:val="009A26CB"/>
    <w:rsid w:val="009A2BC2"/>
    <w:rsid w:val="009A2D37"/>
    <w:rsid w:val="009A7587"/>
    <w:rsid w:val="009B0A69"/>
    <w:rsid w:val="009B5F1C"/>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0FAC"/>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49C"/>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CB6810D-AF5B-4332-A91F-1CCE1DBB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9314-4CCC-45D4-B4D8-ED1A2705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C30E7-921F-450A-BC3E-B2F94BB54227}"/>
</file>

<file path=customXml/itemProps3.xml><?xml version="1.0" encoding="utf-8"?>
<ds:datastoreItem xmlns:ds="http://schemas.openxmlformats.org/officeDocument/2006/customXml" ds:itemID="{75140F07-9393-427F-9450-731D24D634BD}">
  <ds:schemaRefs>
    <ds:schemaRef ds:uri="http://schemas.microsoft.com/sharepoint/v3/contenttype/forms"/>
  </ds:schemaRefs>
</ds:datastoreItem>
</file>

<file path=customXml/itemProps4.xml><?xml version="1.0" encoding="utf-8"?>
<ds:datastoreItem xmlns:ds="http://schemas.openxmlformats.org/officeDocument/2006/customXml" ds:itemID="{08B4BDDF-7943-4486-AB39-20C28B89D240}">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ef2b9e05-657a-4dc1-8c6c-679bdea18f38"/>
    <ds:schemaRef ds:uri="http://schemas.microsoft.com/office/infopath/2007/PartnerControls"/>
  </ds:schemaRefs>
</ds:datastoreItem>
</file>

<file path=customXml/itemProps5.xml><?xml version="1.0" encoding="utf-8"?>
<ds:datastoreItem xmlns:ds="http://schemas.openxmlformats.org/officeDocument/2006/customXml" ds:itemID="{369E9F1D-3486-4CC0-8740-002C749C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module.dotx</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Susan McLaughlin</cp:lastModifiedBy>
  <cp:revision>3</cp:revision>
  <cp:lastPrinted>2015-09-09T08:37:00Z</cp:lastPrinted>
  <dcterms:created xsi:type="dcterms:W3CDTF">2018-04-30T14:24:00Z</dcterms:created>
  <dcterms:modified xsi:type="dcterms:W3CDTF">2018-04-30T14:25:00Z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c9eed86e-d902-4402-a850-4f5f4f2737b4</vt:lpwstr>
  </property>
</Properties>
</file>