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775AC1">
      <w:pPr>
        <w:pStyle w:val="Heading2"/>
        <w:spacing w:before="0"/>
      </w:pPr>
      <w:r>
        <w:t>KentVision Code and t</w:t>
      </w:r>
      <w:r w:rsidR="009A2D37" w:rsidRPr="00072357">
        <w:t>itle of the module</w:t>
      </w:r>
    </w:p>
    <w:p w14:paraId="4AE52586" w14:textId="7D2D661E" w:rsidR="009A2D37" w:rsidRPr="00694B52" w:rsidRDefault="00314262" w:rsidP="00775AC1">
      <w:pPr>
        <w:pStyle w:val="BodyText"/>
      </w:pPr>
      <w:r>
        <w:t>ECON5830 Political Economy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36F0064" w:rsidR="009A2D37" w:rsidRDefault="001A188A" w:rsidP="00775AC1">
      <w:pPr>
        <w:pStyle w:val="BodyText"/>
      </w:pPr>
      <w:r w:rsidRPr="001A188A">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A7FB5D8" w:rsidR="009A2D37" w:rsidRDefault="001A188A" w:rsidP="00775AC1">
      <w:pPr>
        <w:pStyle w:val="BodyText"/>
      </w:pPr>
      <w:r>
        <w:t xml:space="preserve"> 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EC9B918" w:rsidR="009A2D37" w:rsidRDefault="001A188A" w:rsidP="00775AC1">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68EAD05D" w:rsidR="009A2D37" w:rsidRDefault="001A188A" w:rsidP="00775AC1">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A98E721" w14:textId="77777777" w:rsidR="00307089" w:rsidRPr="00307089" w:rsidRDefault="00307089" w:rsidP="00775AC1">
      <w:pPr>
        <w:pStyle w:val="BodyText"/>
      </w:pPr>
      <w:r w:rsidRPr="00307089">
        <w:t>Prerequisites:</w:t>
      </w:r>
    </w:p>
    <w:p w14:paraId="76E78EF6" w14:textId="0D6C3FF7" w:rsidR="00307089" w:rsidRPr="00307089" w:rsidRDefault="00307089" w:rsidP="0095610A">
      <w:pPr>
        <w:pStyle w:val="ListBullet"/>
      </w:pPr>
      <w:r w:rsidRPr="00307089">
        <w:t xml:space="preserve">ECON3040 Principles of Economics </w:t>
      </w:r>
    </w:p>
    <w:p w14:paraId="2C64797E" w14:textId="53F3E7BC" w:rsidR="00307089" w:rsidRPr="00307089" w:rsidRDefault="00307089" w:rsidP="0095610A">
      <w:pPr>
        <w:pStyle w:val="ListBullet"/>
      </w:pPr>
      <w:r w:rsidRPr="00307089">
        <w:t>ECON3050/ECON3060 Mathematics for Economics</w:t>
      </w:r>
    </w:p>
    <w:p w14:paraId="5AC1E0F6" w14:textId="40695A39" w:rsidR="009A2D37" w:rsidRDefault="00307089" w:rsidP="0095610A">
      <w:pPr>
        <w:pStyle w:val="ListBullet"/>
      </w:pPr>
      <w:r w:rsidRPr="00307089">
        <w:t>ECON3090 Statistics for Economics are pre-requisite modules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A5BE82D" w14:textId="059BDC58" w:rsidR="00307089" w:rsidRPr="00307089" w:rsidRDefault="00307089" w:rsidP="00775AC1">
      <w:pPr>
        <w:pStyle w:val="BodyText"/>
      </w:pPr>
      <w:r w:rsidRPr="00307089">
        <w:t xml:space="preserve">This is an </w:t>
      </w:r>
      <w:r w:rsidR="00B4451C">
        <w:t xml:space="preserve">optional </w:t>
      </w:r>
      <w:r w:rsidRPr="00307089">
        <w:t xml:space="preserve">module for all Single Honours Economics </w:t>
      </w:r>
      <w:r w:rsidR="00775AC1">
        <w:t>c</w:t>
      </w:r>
      <w:r w:rsidRPr="00307089">
        <w:t xml:space="preserve">ourses and Joint Honours </w:t>
      </w:r>
      <w:r w:rsidR="00775AC1">
        <w:t>c</w:t>
      </w:r>
      <w:r w:rsidRPr="00307089">
        <w:t>ourses.</w:t>
      </w:r>
    </w:p>
    <w:p w14:paraId="62E6F624" w14:textId="2B736B9C" w:rsidR="00307089" w:rsidRPr="00307089" w:rsidRDefault="00307089" w:rsidP="00775AC1">
      <w:pPr>
        <w:pStyle w:val="BodyText"/>
        <w:rPr>
          <w:color w:val="000000" w:themeColor="text1"/>
        </w:rPr>
      </w:pPr>
      <w:r w:rsidRPr="00307089">
        <w:rPr>
          <w:color w:val="000000" w:themeColor="text1"/>
        </w:rPr>
        <w:t xml:space="preserve">The module is </w:t>
      </w:r>
      <w:r w:rsidRPr="00307089">
        <w:rPr>
          <w:b/>
          <w:color w:val="000000" w:themeColor="text1"/>
        </w:rPr>
        <w:t xml:space="preserve">NOT </w:t>
      </w:r>
      <w:r w:rsidRPr="00307089">
        <w:rPr>
          <w:color w:val="000000" w:themeColor="text1"/>
        </w:rPr>
        <w:t>available to students across other degree courses in the University</w:t>
      </w:r>
      <w:r>
        <w:rPr>
          <w:color w:val="000000" w:themeColor="text1"/>
        </w:rPr>
        <w:t>.</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7C6980D4" w14:textId="4118DC06" w:rsidR="00307089" w:rsidRPr="00307089" w:rsidRDefault="00307089" w:rsidP="00775AC1">
      <w:pPr>
        <w:pStyle w:val="ListNumber2"/>
      </w:pPr>
      <w:r w:rsidRPr="00307089">
        <w:t>8.1</w:t>
      </w:r>
      <w:r w:rsidR="00775AC1">
        <w:tab/>
      </w:r>
      <w:r w:rsidRPr="00307089">
        <w:t>Understand how a variety of microeconomic concepts, such as strategic decision</w:t>
      </w:r>
      <w:r w:rsidR="00775AC1">
        <w:t xml:space="preserve"> </w:t>
      </w:r>
      <w:r w:rsidRPr="00307089">
        <w:t>making, and collective action, have been used to investigate political economy issues</w:t>
      </w:r>
    </w:p>
    <w:p w14:paraId="768041FE" w14:textId="6F66903A" w:rsidR="00307089" w:rsidRPr="00307089" w:rsidRDefault="00307089" w:rsidP="00775AC1">
      <w:pPr>
        <w:pStyle w:val="ListNumber2"/>
      </w:pPr>
      <w:r w:rsidRPr="00307089">
        <w:t>8.2</w:t>
      </w:r>
      <w:r w:rsidR="00775AC1">
        <w:tab/>
      </w:r>
      <w:r w:rsidRPr="00307089">
        <w:t>Understand how household surveys, natural experiments and various methods of course evaluation can be used to test economic theories and guide economic policies</w:t>
      </w:r>
    </w:p>
    <w:p w14:paraId="3170AC94" w14:textId="32D6A969" w:rsidR="00307089" w:rsidRPr="00307089" w:rsidRDefault="00307089" w:rsidP="00775AC1">
      <w:pPr>
        <w:pStyle w:val="ListNumber2"/>
      </w:pPr>
      <w:r w:rsidRPr="00307089">
        <w:t>8.3</w:t>
      </w:r>
      <w:r w:rsidR="00775AC1">
        <w:tab/>
      </w:r>
      <w:r w:rsidRPr="00307089">
        <w:t>Solve simple microeconomic models that can explain phenomena related to political economy and economic development</w:t>
      </w:r>
    </w:p>
    <w:p w14:paraId="4A99749E" w14:textId="22487C92" w:rsidR="00307089" w:rsidRPr="00307089" w:rsidRDefault="00307089" w:rsidP="00775AC1">
      <w:pPr>
        <w:pStyle w:val="ListNumber2"/>
      </w:pPr>
      <w:r w:rsidRPr="00307089">
        <w:lastRenderedPageBreak/>
        <w:t>8.4</w:t>
      </w:r>
      <w:r w:rsidR="00775AC1">
        <w:tab/>
      </w:r>
      <w:r w:rsidRPr="00307089">
        <w:t xml:space="preserve">Analyse microeconomic data using simple statistical methods </w:t>
      </w:r>
    </w:p>
    <w:p w14:paraId="256A8AC3" w14:textId="0E6233FF" w:rsidR="008D4447" w:rsidRPr="0023117A" w:rsidRDefault="00FA4704" w:rsidP="00775AC1">
      <w:pPr>
        <w:pStyle w:val="ListNumber2"/>
      </w:pPr>
      <w:r>
        <w:t>8.5</w:t>
      </w:r>
      <w:r w:rsidR="00775AC1">
        <w:tab/>
      </w:r>
      <w:r w:rsidR="00307089" w:rsidRPr="00307089">
        <w:t>Review the efficacy of policies related to electoral reforms in the context of theory and evidence</w:t>
      </w:r>
      <w:r w:rsidR="00775AC1">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080A65A" w14:textId="1E50C332" w:rsidR="00307089" w:rsidRPr="00307089" w:rsidRDefault="00307089" w:rsidP="00775AC1">
      <w:pPr>
        <w:pStyle w:val="ListNumber2"/>
      </w:pPr>
      <w:r w:rsidRPr="00307089">
        <w:t>9.1</w:t>
      </w:r>
      <w:r w:rsidR="00775AC1">
        <w:tab/>
      </w:r>
      <w:r w:rsidRPr="00307089">
        <w:t xml:space="preserve">Engage critically in the application of models to real-world problems </w:t>
      </w:r>
    </w:p>
    <w:p w14:paraId="727AB551" w14:textId="055672D9" w:rsidR="00307089" w:rsidRPr="00307089" w:rsidRDefault="00307089" w:rsidP="00775AC1">
      <w:pPr>
        <w:pStyle w:val="ListNumber2"/>
      </w:pPr>
      <w:r>
        <w:t>9.2</w:t>
      </w:r>
      <w:r w:rsidR="00775AC1">
        <w:tab/>
      </w:r>
      <w:r w:rsidRPr="00307089">
        <w:t>Retrieve and review information from a variety of sources</w:t>
      </w:r>
    </w:p>
    <w:p w14:paraId="688AD078" w14:textId="134540CB" w:rsidR="00307089" w:rsidRPr="00307089" w:rsidRDefault="00307089" w:rsidP="00775AC1">
      <w:pPr>
        <w:pStyle w:val="ListNumber2"/>
      </w:pPr>
      <w:r>
        <w:t>9.3</w:t>
      </w:r>
      <w:r w:rsidR="00775AC1">
        <w:tab/>
      </w:r>
      <w:r w:rsidRPr="00307089">
        <w:t>Evaluate policy debates conducted by the media and politicians</w:t>
      </w:r>
    </w:p>
    <w:p w14:paraId="306C891A" w14:textId="3B2BC509" w:rsidR="00307089" w:rsidRPr="00307089" w:rsidRDefault="00307089" w:rsidP="00775AC1">
      <w:pPr>
        <w:pStyle w:val="ListNumber2"/>
      </w:pPr>
      <w:r>
        <w:t>9.4</w:t>
      </w:r>
      <w:r w:rsidR="00775AC1">
        <w:tab/>
      </w:r>
      <w:r w:rsidRPr="00307089">
        <w:t xml:space="preserve">Develop arguments coherently </w:t>
      </w:r>
    </w:p>
    <w:p w14:paraId="31D8601B" w14:textId="25DA2B4D" w:rsidR="00273CF0" w:rsidRDefault="00307089" w:rsidP="00775AC1">
      <w:pPr>
        <w:pStyle w:val="ListNumber2"/>
      </w:pPr>
      <w:r>
        <w:t>9.5</w:t>
      </w:r>
      <w:r w:rsidR="00775AC1">
        <w:tab/>
      </w:r>
      <w:r w:rsidRPr="00307089">
        <w:t>Plan work and study independently</w:t>
      </w:r>
      <w:r w:rsidR="00775AC1">
        <w:t>.</w:t>
      </w:r>
    </w:p>
    <w:p w14:paraId="73386C6A" w14:textId="77777777" w:rsidR="009A2D37" w:rsidRPr="009D52D0" w:rsidRDefault="009A2D37" w:rsidP="00072357">
      <w:pPr>
        <w:pStyle w:val="Heading2"/>
      </w:pPr>
      <w:r w:rsidRPr="009D52D0">
        <w:t>A synopsis of the curriculum</w:t>
      </w:r>
    </w:p>
    <w:p w14:paraId="28ACD170" w14:textId="77777777" w:rsidR="00FA4307" w:rsidRPr="00FA4307" w:rsidRDefault="00FA4307" w:rsidP="00775AC1">
      <w:pPr>
        <w:pStyle w:val="BodyText"/>
      </w:pPr>
      <w:r w:rsidRPr="00FA4307">
        <w:t xml:space="preserve">The module will introduce students to the topic of political economy using microeconomic analytical tools. In particular, the module will provide students with an overview of microeconomic theories and empirical methods that have been used to bring new insights to issues related to political economy. The module will also explore how these issues relate to themes in development, public and environmental economics. The following topics will be covered in the module. </w:t>
      </w:r>
    </w:p>
    <w:p w14:paraId="08EB8E1B" w14:textId="143C4B18" w:rsidR="00FA4307" w:rsidRPr="00FA4307" w:rsidRDefault="00FA4307" w:rsidP="00775AC1">
      <w:pPr>
        <w:pStyle w:val="ListNumber"/>
      </w:pPr>
      <w:r w:rsidRPr="00FA4307">
        <w:t>Electoral rules, voting and their economic implications</w:t>
      </w:r>
    </w:p>
    <w:p w14:paraId="4FB7622C" w14:textId="7C59BB38" w:rsidR="00FA4307" w:rsidRPr="00FA4307" w:rsidRDefault="00FA4307" w:rsidP="00775AC1">
      <w:pPr>
        <w:pStyle w:val="ListNumber"/>
      </w:pPr>
      <w:r w:rsidRPr="00FA4307">
        <w:t>Political Reforms and their Economic Impacts</w:t>
      </w:r>
    </w:p>
    <w:p w14:paraId="493E0CF2" w14:textId="0706CF05" w:rsidR="00FA4307" w:rsidRPr="00FA4307" w:rsidRDefault="00FA4307" w:rsidP="00775AC1">
      <w:pPr>
        <w:pStyle w:val="ListNumber"/>
      </w:pPr>
      <w:r w:rsidRPr="00FA4307">
        <w:t>Institutions and Development</w:t>
      </w:r>
    </w:p>
    <w:p w14:paraId="6C838D62" w14:textId="2903FA73" w:rsidR="00FA4307" w:rsidRPr="00FA4307" w:rsidRDefault="00FA4307" w:rsidP="00775AC1">
      <w:pPr>
        <w:pStyle w:val="ListNumber"/>
      </w:pPr>
      <w:r w:rsidRPr="00FA4307">
        <w:t>Ethnic and Civil Conflict</w:t>
      </w:r>
    </w:p>
    <w:p w14:paraId="0DD3D0E8" w14:textId="3F89654E" w:rsidR="00FA4307" w:rsidRPr="00FA4307" w:rsidRDefault="00FA4307" w:rsidP="00775AC1">
      <w:pPr>
        <w:pStyle w:val="ListNumber"/>
      </w:pPr>
      <w:r w:rsidRPr="00FA4307">
        <w:t>Climate Agreements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775AC1">
      <w:pPr>
        <w:pStyle w:val="BodyText"/>
        <w:rPr>
          <w:b/>
        </w:rPr>
      </w:pPr>
      <w:r w:rsidRPr="00636058">
        <w:t xml:space="preserve">The University is committed to ensuring that core reading materials are in accessible electronic format in line with the Kent Inclusive Practices. </w:t>
      </w:r>
    </w:p>
    <w:p w14:paraId="4F265D11" w14:textId="348A4DA4" w:rsidR="00FA4307" w:rsidRPr="00FA4704" w:rsidRDefault="00636058" w:rsidP="00775AC1">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6BF94854" w:rsidR="00636058" w:rsidRPr="00636058" w:rsidRDefault="00636058" w:rsidP="00775AC1">
      <w:pPr>
        <w:pStyle w:val="BodyText"/>
      </w:pPr>
      <w:r w:rsidRPr="00636058">
        <w:t>Private Study</w:t>
      </w:r>
      <w:r w:rsidR="007A3F31">
        <w:t>:</w:t>
      </w:r>
      <w:r w:rsidR="00005C9F">
        <w:t xml:space="preserve"> 121 hours</w:t>
      </w:r>
    </w:p>
    <w:p w14:paraId="3BE5E6D9" w14:textId="04263AA1" w:rsidR="00636058" w:rsidRPr="00636058" w:rsidRDefault="00636058" w:rsidP="00775AC1">
      <w:pPr>
        <w:pStyle w:val="BodyText"/>
      </w:pPr>
      <w:r w:rsidRPr="00636058">
        <w:t>Contact Hours</w:t>
      </w:r>
      <w:r w:rsidR="007A3F31">
        <w:t>:</w:t>
      </w:r>
      <w:r w:rsidR="00005C9F">
        <w:t xml:space="preserve"> 29 hours</w:t>
      </w:r>
    </w:p>
    <w:p w14:paraId="260000FF" w14:textId="25123E5C" w:rsidR="00636058" w:rsidRPr="00636058" w:rsidRDefault="00636058" w:rsidP="00775AC1">
      <w:pPr>
        <w:pStyle w:val="BodyText"/>
      </w:pPr>
      <w:r w:rsidRPr="00636058">
        <w:t>Total</w:t>
      </w:r>
      <w:r w:rsidR="007A3F31">
        <w:t>:</w:t>
      </w:r>
      <w:r w:rsidR="00005C9F">
        <w:t xml:space="preserve"> 150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775AC1">
      <w:pPr>
        <w:pStyle w:val="header2"/>
        <w:numPr>
          <w:ilvl w:val="1"/>
          <w:numId w:val="11"/>
        </w:numPr>
        <w:spacing w:before="0"/>
        <w:ind w:left="567" w:hanging="567"/>
        <w:rPr>
          <w:b w:val="0"/>
          <w:bCs/>
          <w:i/>
          <w:iCs/>
        </w:rPr>
      </w:pPr>
      <w:r w:rsidRPr="00B2615D">
        <w:rPr>
          <w:b w:val="0"/>
          <w:bCs/>
          <w:iCs/>
        </w:rPr>
        <w:t>Main assessment methods</w:t>
      </w:r>
    </w:p>
    <w:p w14:paraId="5A805612" w14:textId="1A807CA1" w:rsidR="00E83668" w:rsidRPr="00E83668" w:rsidRDefault="00E83668" w:rsidP="00775AC1">
      <w:pPr>
        <w:pStyle w:val="BodyText"/>
      </w:pPr>
      <w:r w:rsidRPr="00E83668">
        <w:t xml:space="preserve">Essay, (1500 </w:t>
      </w:r>
      <w:r w:rsidR="0095610A">
        <w:t>w</w:t>
      </w:r>
      <w:r w:rsidRPr="00E83668">
        <w:t>ords) (</w:t>
      </w:r>
      <w:r w:rsidR="00B16D0B">
        <w:t>3</w:t>
      </w:r>
      <w:r w:rsidRPr="00E83668">
        <w:t>0%)</w:t>
      </w:r>
    </w:p>
    <w:p w14:paraId="603BE617" w14:textId="4D0683E1" w:rsidR="003F3578" w:rsidRDefault="00E83668" w:rsidP="00775AC1">
      <w:pPr>
        <w:pStyle w:val="BodyText"/>
      </w:pPr>
      <w:r w:rsidRPr="00E83668">
        <w:t>Examination, 2 hours (</w:t>
      </w:r>
      <w:r w:rsidR="00B16D0B">
        <w:t>7</w:t>
      </w:r>
      <w:r w:rsidRPr="00E83668">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DFE2C8D"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9252AA9" w14:textId="5BEE8E13" w:rsidR="00E83668" w:rsidRPr="00E83668" w:rsidRDefault="00E83668" w:rsidP="00775AC1">
      <w:pPr>
        <w:pStyle w:val="BodyText"/>
      </w:pPr>
      <w:r w:rsidRPr="00E83668">
        <w:t>Reassessment Instrument: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7CE2EE0D" w:rsidR="00636058" w:rsidRDefault="00636058" w:rsidP="009945F7">
      <w:pPr>
        <w:spacing w:before="48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09" w:type="pct"/>
        <w:tblInd w:w="562" w:type="dxa"/>
        <w:tblLook w:val="04A0" w:firstRow="1" w:lastRow="0" w:firstColumn="1" w:lastColumn="0" w:noHBand="0" w:noVBand="1"/>
      </w:tblPr>
      <w:tblGrid>
        <w:gridCol w:w="2225"/>
        <w:gridCol w:w="743"/>
        <w:gridCol w:w="742"/>
        <w:gridCol w:w="742"/>
        <w:gridCol w:w="742"/>
        <w:gridCol w:w="742"/>
        <w:gridCol w:w="742"/>
        <w:gridCol w:w="742"/>
        <w:gridCol w:w="742"/>
        <w:gridCol w:w="742"/>
        <w:gridCol w:w="734"/>
      </w:tblGrid>
      <w:tr w:rsidR="00C66DC6" w:rsidRPr="00813D6E" w14:paraId="5A3F0CE7" w14:textId="77777777" w:rsidTr="00C66DC6">
        <w:tc>
          <w:tcPr>
            <w:tcW w:w="1154" w:type="pct"/>
            <w:shd w:val="clear" w:color="auto" w:fill="D9D9D9" w:themeFill="background1" w:themeFillShade="D9"/>
          </w:tcPr>
          <w:p w14:paraId="21D35813" w14:textId="77777777" w:rsidR="00C66DC6" w:rsidRPr="009945F7" w:rsidRDefault="00C66DC6" w:rsidP="004568D3">
            <w:pPr>
              <w:spacing w:after="120"/>
              <w:ind w:left="33"/>
              <w:rPr>
                <w:rFonts w:ascii="Arial" w:hAnsi="Arial" w:cs="Arial"/>
                <w:b/>
                <w:sz w:val="20"/>
                <w:szCs w:val="20"/>
              </w:rPr>
            </w:pPr>
            <w:r w:rsidRPr="009945F7">
              <w:rPr>
                <w:rFonts w:ascii="Arial" w:hAnsi="Arial" w:cs="Arial"/>
                <w:b/>
                <w:sz w:val="20"/>
                <w:szCs w:val="20"/>
              </w:rPr>
              <w:t>Module learning outcome</w:t>
            </w:r>
          </w:p>
        </w:tc>
        <w:tc>
          <w:tcPr>
            <w:tcW w:w="385" w:type="pct"/>
          </w:tcPr>
          <w:p w14:paraId="43E68CD8"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8.1</w:t>
            </w:r>
          </w:p>
        </w:tc>
        <w:tc>
          <w:tcPr>
            <w:tcW w:w="385" w:type="pct"/>
          </w:tcPr>
          <w:p w14:paraId="7EB6204B"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8.2</w:t>
            </w:r>
          </w:p>
        </w:tc>
        <w:tc>
          <w:tcPr>
            <w:tcW w:w="385" w:type="pct"/>
          </w:tcPr>
          <w:p w14:paraId="2C01D7AE"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8.3</w:t>
            </w:r>
          </w:p>
        </w:tc>
        <w:tc>
          <w:tcPr>
            <w:tcW w:w="385" w:type="pct"/>
          </w:tcPr>
          <w:p w14:paraId="5DBC008E"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8.4</w:t>
            </w:r>
          </w:p>
        </w:tc>
        <w:tc>
          <w:tcPr>
            <w:tcW w:w="385" w:type="pct"/>
          </w:tcPr>
          <w:p w14:paraId="106E3955"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8.5</w:t>
            </w:r>
          </w:p>
        </w:tc>
        <w:tc>
          <w:tcPr>
            <w:tcW w:w="385" w:type="pct"/>
          </w:tcPr>
          <w:p w14:paraId="6F9A1B03"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9.1</w:t>
            </w:r>
          </w:p>
        </w:tc>
        <w:tc>
          <w:tcPr>
            <w:tcW w:w="385" w:type="pct"/>
          </w:tcPr>
          <w:p w14:paraId="060B3795"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9.2</w:t>
            </w:r>
          </w:p>
        </w:tc>
        <w:tc>
          <w:tcPr>
            <w:tcW w:w="385" w:type="pct"/>
          </w:tcPr>
          <w:p w14:paraId="775FFB69"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9.3</w:t>
            </w:r>
          </w:p>
        </w:tc>
        <w:tc>
          <w:tcPr>
            <w:tcW w:w="385" w:type="pct"/>
          </w:tcPr>
          <w:p w14:paraId="383CD266"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9.4</w:t>
            </w:r>
          </w:p>
        </w:tc>
        <w:tc>
          <w:tcPr>
            <w:tcW w:w="381" w:type="pct"/>
          </w:tcPr>
          <w:p w14:paraId="10605239"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9.5</w:t>
            </w:r>
          </w:p>
        </w:tc>
      </w:tr>
      <w:tr w:rsidR="00C66DC6" w:rsidRPr="00813D6E" w14:paraId="5BE04D89" w14:textId="77777777" w:rsidTr="00C66DC6">
        <w:tc>
          <w:tcPr>
            <w:tcW w:w="1154" w:type="pct"/>
            <w:vAlign w:val="center"/>
          </w:tcPr>
          <w:p w14:paraId="76792ACF" w14:textId="77777777" w:rsidR="00C66DC6" w:rsidRPr="009945F7" w:rsidRDefault="00C66DC6" w:rsidP="004568D3">
            <w:pPr>
              <w:spacing w:after="120"/>
              <w:rPr>
                <w:rFonts w:ascii="Arial" w:hAnsi="Arial" w:cs="Arial"/>
                <w:sz w:val="20"/>
                <w:szCs w:val="20"/>
              </w:rPr>
            </w:pPr>
            <w:r w:rsidRPr="009945F7">
              <w:rPr>
                <w:rFonts w:ascii="Arial" w:hAnsi="Arial" w:cs="Arial"/>
                <w:sz w:val="20"/>
                <w:szCs w:val="20"/>
              </w:rPr>
              <w:t>Lecture</w:t>
            </w:r>
          </w:p>
        </w:tc>
        <w:tc>
          <w:tcPr>
            <w:tcW w:w="385" w:type="pct"/>
            <w:vAlign w:val="center"/>
          </w:tcPr>
          <w:p w14:paraId="216C3C64"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0557F1A"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7AF9D9D0"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E260AC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74795F9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6F5627FB"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748C47D"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1DA6D670"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47D572A"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1" w:type="pct"/>
            <w:vAlign w:val="center"/>
          </w:tcPr>
          <w:p w14:paraId="77859CE1" w14:textId="77777777" w:rsidR="00C66DC6" w:rsidRPr="009945F7" w:rsidRDefault="00C66DC6" w:rsidP="004568D3">
            <w:pPr>
              <w:jc w:val="center"/>
              <w:rPr>
                <w:b/>
                <w:sz w:val="20"/>
                <w:szCs w:val="20"/>
              </w:rPr>
            </w:pPr>
          </w:p>
        </w:tc>
      </w:tr>
      <w:tr w:rsidR="00C66DC6" w:rsidRPr="00813D6E" w14:paraId="11D54150" w14:textId="77777777" w:rsidTr="00C66DC6">
        <w:tc>
          <w:tcPr>
            <w:tcW w:w="1154" w:type="pct"/>
            <w:vAlign w:val="center"/>
          </w:tcPr>
          <w:p w14:paraId="470B6CE4" w14:textId="77777777" w:rsidR="00C66DC6" w:rsidRPr="009945F7" w:rsidRDefault="00C66DC6" w:rsidP="004568D3">
            <w:pPr>
              <w:spacing w:after="120"/>
              <w:rPr>
                <w:rFonts w:ascii="Arial" w:hAnsi="Arial" w:cs="Arial"/>
                <w:sz w:val="20"/>
                <w:szCs w:val="20"/>
              </w:rPr>
            </w:pPr>
            <w:r w:rsidRPr="009945F7">
              <w:rPr>
                <w:rFonts w:ascii="Arial" w:hAnsi="Arial" w:cs="Arial"/>
                <w:sz w:val="20"/>
                <w:szCs w:val="20"/>
              </w:rPr>
              <w:t>Seminar</w:t>
            </w:r>
          </w:p>
        </w:tc>
        <w:tc>
          <w:tcPr>
            <w:tcW w:w="385" w:type="pct"/>
            <w:vAlign w:val="center"/>
          </w:tcPr>
          <w:p w14:paraId="1C5D44CA"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4124CAA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3B80521F"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44DB5218"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CE92C99"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860C72C"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3C59172"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4D696734"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FA916D9"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1" w:type="pct"/>
            <w:vAlign w:val="center"/>
          </w:tcPr>
          <w:p w14:paraId="74DE5E51" w14:textId="77777777" w:rsidR="00C66DC6" w:rsidRPr="009945F7" w:rsidRDefault="00C66DC6" w:rsidP="004568D3">
            <w:pPr>
              <w:jc w:val="center"/>
              <w:rPr>
                <w:b/>
                <w:sz w:val="20"/>
                <w:szCs w:val="20"/>
              </w:rPr>
            </w:pPr>
            <w:r w:rsidRPr="009945F7">
              <w:rPr>
                <w:rFonts w:ascii="Arial" w:hAnsi="Arial" w:cs="Arial"/>
                <w:b/>
                <w:sz w:val="20"/>
                <w:szCs w:val="20"/>
              </w:rPr>
              <w:t>x</w:t>
            </w:r>
          </w:p>
        </w:tc>
      </w:tr>
      <w:tr w:rsidR="00C66DC6" w:rsidRPr="00813D6E" w14:paraId="794B4BE5" w14:textId="77777777" w:rsidTr="00C66DC6">
        <w:tc>
          <w:tcPr>
            <w:tcW w:w="1154" w:type="pct"/>
            <w:vAlign w:val="center"/>
          </w:tcPr>
          <w:p w14:paraId="3D376584" w14:textId="77777777" w:rsidR="00C66DC6" w:rsidRPr="009945F7" w:rsidRDefault="00C66DC6" w:rsidP="004568D3">
            <w:pPr>
              <w:spacing w:after="120"/>
              <w:rPr>
                <w:rFonts w:ascii="Arial" w:hAnsi="Arial" w:cs="Arial"/>
                <w:sz w:val="20"/>
                <w:szCs w:val="20"/>
              </w:rPr>
            </w:pPr>
            <w:r w:rsidRPr="009945F7">
              <w:rPr>
                <w:rFonts w:ascii="Arial" w:hAnsi="Arial" w:cs="Arial"/>
                <w:sz w:val="20"/>
                <w:szCs w:val="20"/>
              </w:rPr>
              <w:t>Private Study</w:t>
            </w:r>
          </w:p>
        </w:tc>
        <w:tc>
          <w:tcPr>
            <w:tcW w:w="385" w:type="pct"/>
            <w:vAlign w:val="center"/>
          </w:tcPr>
          <w:p w14:paraId="113E4F6C"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1E79AD3D"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3CF7D02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9FA5872"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641FB7D2"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FDBEC26"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2FF471F"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36583785"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7156B930"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1" w:type="pct"/>
            <w:vAlign w:val="center"/>
          </w:tcPr>
          <w:p w14:paraId="270B5868" w14:textId="77777777" w:rsidR="00C66DC6" w:rsidRPr="009945F7" w:rsidRDefault="00C66DC6" w:rsidP="004568D3">
            <w:pPr>
              <w:jc w:val="center"/>
              <w:rPr>
                <w:b/>
                <w:sz w:val="20"/>
                <w:szCs w:val="20"/>
              </w:rPr>
            </w:pPr>
            <w:r w:rsidRPr="009945F7">
              <w:rPr>
                <w:rFonts w:ascii="Arial" w:hAnsi="Arial" w:cs="Arial"/>
                <w:b/>
                <w:sz w:val="20"/>
                <w:szCs w:val="20"/>
              </w:rPr>
              <w:t>x</w:t>
            </w:r>
          </w:p>
        </w:tc>
      </w:tr>
    </w:tbl>
    <w:p w14:paraId="5A1105B5" w14:textId="5695F7D8" w:rsidR="00636058" w:rsidRDefault="00C66DC6" w:rsidP="009945F7">
      <w:pPr>
        <w:spacing w:before="480" w:after="360" w:line="240" w:lineRule="auto"/>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W w:w="4609" w:type="pct"/>
        <w:tblInd w:w="562" w:type="dxa"/>
        <w:tblLook w:val="04A0" w:firstRow="1" w:lastRow="0" w:firstColumn="1" w:lastColumn="0" w:noHBand="0" w:noVBand="1"/>
      </w:tblPr>
      <w:tblGrid>
        <w:gridCol w:w="2224"/>
        <w:gridCol w:w="742"/>
        <w:gridCol w:w="742"/>
        <w:gridCol w:w="742"/>
        <w:gridCol w:w="742"/>
        <w:gridCol w:w="742"/>
        <w:gridCol w:w="742"/>
        <w:gridCol w:w="742"/>
        <w:gridCol w:w="742"/>
        <w:gridCol w:w="742"/>
        <w:gridCol w:w="736"/>
      </w:tblGrid>
      <w:tr w:rsidR="00C66DC6" w:rsidRPr="00813D6E" w14:paraId="34659300" w14:textId="77777777" w:rsidTr="00C66DC6">
        <w:tc>
          <w:tcPr>
            <w:tcW w:w="1153" w:type="pct"/>
            <w:shd w:val="clear" w:color="auto" w:fill="D9D9D9" w:themeFill="background1" w:themeFillShade="D9"/>
          </w:tcPr>
          <w:p w14:paraId="256F5C25" w14:textId="77777777" w:rsidR="00C66DC6" w:rsidRPr="009945F7" w:rsidRDefault="00C66DC6" w:rsidP="004568D3">
            <w:pPr>
              <w:spacing w:after="120"/>
              <w:ind w:left="33"/>
              <w:rPr>
                <w:rFonts w:ascii="Arial" w:hAnsi="Arial" w:cs="Arial"/>
                <w:b/>
                <w:sz w:val="20"/>
                <w:szCs w:val="20"/>
              </w:rPr>
            </w:pPr>
            <w:r w:rsidRPr="009945F7">
              <w:rPr>
                <w:rFonts w:ascii="Arial" w:hAnsi="Arial" w:cs="Arial"/>
                <w:b/>
                <w:sz w:val="20"/>
                <w:szCs w:val="20"/>
              </w:rPr>
              <w:t>Module learning outcome</w:t>
            </w:r>
          </w:p>
        </w:tc>
        <w:tc>
          <w:tcPr>
            <w:tcW w:w="385" w:type="pct"/>
          </w:tcPr>
          <w:p w14:paraId="3C2EC3CB"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8.1</w:t>
            </w:r>
          </w:p>
        </w:tc>
        <w:tc>
          <w:tcPr>
            <w:tcW w:w="385" w:type="pct"/>
          </w:tcPr>
          <w:p w14:paraId="691A201B"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8.2</w:t>
            </w:r>
          </w:p>
        </w:tc>
        <w:tc>
          <w:tcPr>
            <w:tcW w:w="385" w:type="pct"/>
          </w:tcPr>
          <w:p w14:paraId="2A4E9216"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8.3</w:t>
            </w:r>
          </w:p>
        </w:tc>
        <w:tc>
          <w:tcPr>
            <w:tcW w:w="385" w:type="pct"/>
          </w:tcPr>
          <w:p w14:paraId="23472D83"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8.4</w:t>
            </w:r>
          </w:p>
        </w:tc>
        <w:tc>
          <w:tcPr>
            <w:tcW w:w="385" w:type="pct"/>
          </w:tcPr>
          <w:p w14:paraId="7CA9B40E"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8.5</w:t>
            </w:r>
          </w:p>
        </w:tc>
        <w:tc>
          <w:tcPr>
            <w:tcW w:w="385" w:type="pct"/>
          </w:tcPr>
          <w:p w14:paraId="156D8981"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9.1</w:t>
            </w:r>
          </w:p>
        </w:tc>
        <w:tc>
          <w:tcPr>
            <w:tcW w:w="385" w:type="pct"/>
          </w:tcPr>
          <w:p w14:paraId="2640DCA0"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9.2</w:t>
            </w:r>
          </w:p>
        </w:tc>
        <w:tc>
          <w:tcPr>
            <w:tcW w:w="385" w:type="pct"/>
          </w:tcPr>
          <w:p w14:paraId="215CB9E6"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9.3</w:t>
            </w:r>
          </w:p>
        </w:tc>
        <w:tc>
          <w:tcPr>
            <w:tcW w:w="385" w:type="pct"/>
          </w:tcPr>
          <w:p w14:paraId="7D5462E0"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9.4</w:t>
            </w:r>
          </w:p>
        </w:tc>
        <w:tc>
          <w:tcPr>
            <w:tcW w:w="383" w:type="pct"/>
          </w:tcPr>
          <w:p w14:paraId="29621FAA"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9.5</w:t>
            </w:r>
          </w:p>
        </w:tc>
      </w:tr>
      <w:tr w:rsidR="00C66DC6" w:rsidRPr="00813D6E" w14:paraId="7F2CFFE6" w14:textId="77777777" w:rsidTr="00C66DC6">
        <w:tc>
          <w:tcPr>
            <w:tcW w:w="1153" w:type="pct"/>
            <w:vAlign w:val="center"/>
          </w:tcPr>
          <w:p w14:paraId="573F58FC" w14:textId="55C604AA" w:rsidR="00C66DC6" w:rsidRPr="009945F7" w:rsidRDefault="00C66DC6" w:rsidP="009945F7">
            <w:pPr>
              <w:rPr>
                <w:rFonts w:ascii="Arial" w:hAnsi="Arial" w:cs="Arial"/>
                <w:sz w:val="20"/>
                <w:szCs w:val="20"/>
              </w:rPr>
            </w:pPr>
            <w:r w:rsidRPr="009945F7">
              <w:rPr>
                <w:rFonts w:ascii="Arial" w:hAnsi="Arial" w:cs="Arial"/>
                <w:sz w:val="20"/>
                <w:szCs w:val="20"/>
              </w:rPr>
              <w:t>Essay</w:t>
            </w:r>
            <w:r w:rsidR="009945F7">
              <w:rPr>
                <w:rFonts w:ascii="Arial" w:hAnsi="Arial" w:cs="Arial"/>
                <w:sz w:val="20"/>
                <w:szCs w:val="20"/>
              </w:rPr>
              <w:t xml:space="preserve"> </w:t>
            </w:r>
            <w:r w:rsidRPr="009945F7">
              <w:rPr>
                <w:rFonts w:ascii="Arial" w:hAnsi="Arial" w:cs="Arial"/>
                <w:sz w:val="20"/>
                <w:szCs w:val="20"/>
              </w:rPr>
              <w:t xml:space="preserve">(1500 </w:t>
            </w:r>
            <w:r w:rsidR="009945F7">
              <w:rPr>
                <w:rFonts w:ascii="Arial" w:hAnsi="Arial" w:cs="Arial"/>
                <w:sz w:val="20"/>
                <w:szCs w:val="20"/>
              </w:rPr>
              <w:t>w</w:t>
            </w:r>
            <w:r w:rsidRPr="009945F7">
              <w:rPr>
                <w:rFonts w:ascii="Arial" w:hAnsi="Arial" w:cs="Arial"/>
                <w:sz w:val="20"/>
                <w:szCs w:val="20"/>
              </w:rPr>
              <w:t>ords)</w:t>
            </w:r>
          </w:p>
        </w:tc>
        <w:tc>
          <w:tcPr>
            <w:tcW w:w="385" w:type="pct"/>
            <w:vAlign w:val="center"/>
          </w:tcPr>
          <w:p w14:paraId="34458CEC"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6B3BF740"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768930F5"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82817A0" w14:textId="77777777" w:rsidR="00C66DC6" w:rsidRPr="009945F7" w:rsidRDefault="00C66DC6" w:rsidP="004568D3">
            <w:pPr>
              <w:jc w:val="center"/>
              <w:rPr>
                <w:b/>
                <w:sz w:val="20"/>
                <w:szCs w:val="20"/>
              </w:rPr>
            </w:pPr>
            <w:r w:rsidRPr="009945F7">
              <w:rPr>
                <w:b/>
                <w:sz w:val="20"/>
                <w:szCs w:val="20"/>
              </w:rPr>
              <w:t>x</w:t>
            </w:r>
          </w:p>
        </w:tc>
        <w:tc>
          <w:tcPr>
            <w:tcW w:w="385" w:type="pct"/>
            <w:vAlign w:val="center"/>
          </w:tcPr>
          <w:p w14:paraId="051F08E8"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12A54D1A"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6A8BA759"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A9FF76C"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35E3A7E7" w14:textId="77777777" w:rsidR="00C66DC6" w:rsidRPr="009945F7" w:rsidRDefault="00C66DC6" w:rsidP="004568D3">
            <w:pPr>
              <w:jc w:val="center"/>
              <w:rPr>
                <w:b/>
                <w:sz w:val="20"/>
                <w:szCs w:val="20"/>
              </w:rPr>
            </w:pPr>
            <w:r w:rsidRPr="009945F7">
              <w:rPr>
                <w:rFonts w:ascii="Arial" w:hAnsi="Arial" w:cs="Arial"/>
                <w:b/>
                <w:bCs/>
                <w:sz w:val="20"/>
                <w:szCs w:val="20"/>
              </w:rPr>
              <w:t>x</w:t>
            </w:r>
          </w:p>
        </w:tc>
        <w:tc>
          <w:tcPr>
            <w:tcW w:w="383" w:type="pct"/>
            <w:vAlign w:val="center"/>
          </w:tcPr>
          <w:p w14:paraId="79AD0F33" w14:textId="77777777" w:rsidR="00C66DC6" w:rsidRPr="009945F7" w:rsidRDefault="00C66DC6" w:rsidP="004568D3">
            <w:pPr>
              <w:jc w:val="center"/>
              <w:rPr>
                <w:b/>
                <w:sz w:val="20"/>
                <w:szCs w:val="20"/>
              </w:rPr>
            </w:pPr>
            <w:r w:rsidRPr="009945F7">
              <w:rPr>
                <w:rFonts w:ascii="Arial" w:hAnsi="Arial" w:cs="Arial"/>
                <w:b/>
                <w:sz w:val="20"/>
                <w:szCs w:val="20"/>
              </w:rPr>
              <w:t>x</w:t>
            </w:r>
          </w:p>
        </w:tc>
      </w:tr>
      <w:tr w:rsidR="00C66DC6" w:rsidRPr="00813D6E" w14:paraId="204AB6A8" w14:textId="77777777" w:rsidTr="00C66DC6">
        <w:tc>
          <w:tcPr>
            <w:tcW w:w="1153" w:type="pct"/>
            <w:vAlign w:val="center"/>
          </w:tcPr>
          <w:p w14:paraId="7C621BCD" w14:textId="77777777" w:rsidR="00C66DC6" w:rsidRPr="009945F7" w:rsidRDefault="00C66DC6" w:rsidP="004568D3">
            <w:pPr>
              <w:spacing w:after="120"/>
              <w:rPr>
                <w:rFonts w:ascii="Arial" w:hAnsi="Arial" w:cs="Arial"/>
                <w:sz w:val="20"/>
                <w:szCs w:val="20"/>
              </w:rPr>
            </w:pPr>
            <w:r w:rsidRPr="009945F7">
              <w:rPr>
                <w:rFonts w:ascii="Arial" w:hAnsi="Arial" w:cs="Arial"/>
                <w:sz w:val="20"/>
                <w:szCs w:val="20"/>
              </w:rPr>
              <w:t>Examination</w:t>
            </w:r>
          </w:p>
        </w:tc>
        <w:tc>
          <w:tcPr>
            <w:tcW w:w="385" w:type="pct"/>
            <w:vAlign w:val="center"/>
          </w:tcPr>
          <w:p w14:paraId="5AD19469"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3537739C"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B5AFDF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CCEB657"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13602DF"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1018E1A2"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594B54F"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4FC522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6EE992ED"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3" w:type="pct"/>
            <w:vAlign w:val="center"/>
          </w:tcPr>
          <w:p w14:paraId="11B678F3" w14:textId="77777777" w:rsidR="00C66DC6" w:rsidRPr="009945F7" w:rsidRDefault="00C66DC6" w:rsidP="004568D3">
            <w:pPr>
              <w:jc w:val="center"/>
              <w:rPr>
                <w:b/>
                <w:sz w:val="20"/>
                <w:szCs w:val="20"/>
              </w:rPr>
            </w:pPr>
            <w:r w:rsidRPr="009945F7">
              <w:rPr>
                <w:rFonts w:ascii="Arial" w:hAnsi="Arial" w:cs="Arial"/>
                <w:b/>
                <w:sz w:val="20"/>
                <w:szCs w:val="20"/>
              </w:rPr>
              <w:t>x</w:t>
            </w:r>
          </w:p>
        </w:tc>
      </w:tr>
    </w:tbl>
    <w:p w14:paraId="03283DDF" w14:textId="77777777" w:rsidR="00883204" w:rsidRPr="009D52D0" w:rsidRDefault="00883204" w:rsidP="00072357">
      <w:pPr>
        <w:pStyle w:val="Heading2"/>
        <w:rPr>
          <w:iCs/>
        </w:rPr>
      </w:pPr>
      <w:r w:rsidRPr="009D52D0">
        <w:t xml:space="preserve">Inclusive module design </w:t>
      </w:r>
    </w:p>
    <w:p w14:paraId="414D5ADE" w14:textId="77777777" w:rsidR="001A188A" w:rsidRPr="005A0900" w:rsidRDefault="001A188A" w:rsidP="009945F7">
      <w:pPr>
        <w:pStyle w:val="BodyText"/>
      </w:pPr>
      <w:r w:rsidRPr="005A0900">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A3BB48" w14:textId="77777777" w:rsidR="001A188A" w:rsidRPr="005A0900" w:rsidRDefault="001A188A" w:rsidP="009945F7">
      <w:pPr>
        <w:pStyle w:val="BodyText"/>
      </w:pPr>
      <w:r w:rsidRPr="005A0900">
        <w:t>The inclusive practices in the guidance (see Annex B Appendix A) have been considered in order to support all students in the following areas:</w:t>
      </w:r>
    </w:p>
    <w:p w14:paraId="5754A1AE" w14:textId="77777777" w:rsidR="001A188A" w:rsidRPr="005A0900" w:rsidRDefault="001A188A" w:rsidP="009945F7">
      <w:pPr>
        <w:pStyle w:val="BodyText"/>
        <w:rPr>
          <w:bCs/>
        </w:rPr>
      </w:pPr>
      <w:r w:rsidRPr="005A0900">
        <w:t xml:space="preserve">a) </w:t>
      </w:r>
      <w:r w:rsidRPr="005A0900">
        <w:rPr>
          <w:bCs/>
        </w:rPr>
        <w:t>Accessible resources and curriculum</w:t>
      </w:r>
    </w:p>
    <w:p w14:paraId="64CB78F5" w14:textId="77777777" w:rsidR="001A188A" w:rsidRPr="005A0900" w:rsidRDefault="001A188A" w:rsidP="009945F7">
      <w:pPr>
        <w:pStyle w:val="BodyText"/>
        <w:rPr>
          <w:color w:val="000000"/>
        </w:rPr>
      </w:pPr>
      <w:r w:rsidRPr="005A0900">
        <w:t xml:space="preserve">b) </w:t>
      </w:r>
      <w:r w:rsidRPr="005A0900">
        <w:rPr>
          <w:bCs/>
        </w:rPr>
        <w:t>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BC7FF9A" w:rsidR="009A2D37" w:rsidRDefault="001A188A" w:rsidP="009945F7">
      <w:pPr>
        <w:pStyle w:val="BodyText"/>
      </w:pPr>
      <w:r>
        <w:t>Canterbury</w:t>
      </w:r>
    </w:p>
    <w:p w14:paraId="654C7CE7" w14:textId="77777777" w:rsidR="00883204" w:rsidRPr="009D52D0" w:rsidRDefault="00883204" w:rsidP="00072357">
      <w:pPr>
        <w:pStyle w:val="Heading2"/>
      </w:pPr>
      <w:r w:rsidRPr="009D52D0">
        <w:lastRenderedPageBreak/>
        <w:t xml:space="preserve">Internationalisation </w:t>
      </w:r>
    </w:p>
    <w:p w14:paraId="3F5B9073" w14:textId="4096AFD1" w:rsidR="009D52D0" w:rsidRDefault="00C66DC6" w:rsidP="009945F7">
      <w:pPr>
        <w:pStyle w:val="BodyText"/>
      </w:pPr>
      <w:r w:rsidRPr="00C66DC6">
        <w:t>The subject content of the module will have a strong international dimension (see synopsis).</w:t>
      </w:r>
    </w:p>
    <w:p w14:paraId="6FE3BE03" w14:textId="0EFD782C" w:rsidR="009945F7" w:rsidRDefault="009945F7" w:rsidP="009945F7">
      <w:pPr>
        <w:pStyle w:val="BodyText"/>
      </w:pPr>
    </w:p>
    <w:p w14:paraId="2CF7E5DC" w14:textId="5C9F12DF" w:rsidR="009945F7" w:rsidRDefault="009945F7" w:rsidP="009945F7">
      <w:pPr>
        <w:pStyle w:val="BodyText"/>
      </w:pPr>
    </w:p>
    <w:p w14:paraId="5DA3CCE7" w14:textId="6FF8963A" w:rsidR="009945F7" w:rsidRDefault="009945F7" w:rsidP="009945F7">
      <w:pPr>
        <w:pStyle w:val="BodyText"/>
      </w:pPr>
    </w:p>
    <w:p w14:paraId="2EA826E2" w14:textId="5FFA2B26" w:rsidR="009945F7" w:rsidRDefault="009945F7" w:rsidP="009945F7">
      <w:pPr>
        <w:pStyle w:val="BodyText"/>
      </w:pPr>
    </w:p>
    <w:p w14:paraId="1B5627B9" w14:textId="77777777" w:rsidR="009945F7" w:rsidRDefault="009945F7" w:rsidP="009945F7">
      <w:pPr>
        <w:pStyle w:val="BodyText"/>
      </w:pPr>
    </w:p>
    <w:p w14:paraId="54F7536A" w14:textId="77777777" w:rsidR="009945F7" w:rsidRPr="009D52D0" w:rsidRDefault="009945F7" w:rsidP="009945F7">
      <w:pPr>
        <w:pBdr>
          <w:bottom w:val="single" w:sz="6" w:space="1" w:color="auto"/>
        </w:pBdr>
        <w:spacing w:after="120" w:line="240" w:lineRule="auto"/>
        <w:ind w:right="543"/>
        <w:rPr>
          <w:rFonts w:ascii="Arial" w:hAnsi="Arial" w:cs="Arial"/>
          <w:sz w:val="24"/>
          <w:szCs w:val="24"/>
        </w:rPr>
      </w:pPr>
      <w:bookmarkStart w:id="0" w:name="_Hlk118801091"/>
    </w:p>
    <w:p w14:paraId="2F47F794" w14:textId="77777777" w:rsidR="009945F7" w:rsidRPr="005E5282" w:rsidRDefault="009945F7" w:rsidP="009945F7">
      <w:pPr>
        <w:spacing w:after="120" w:line="240" w:lineRule="auto"/>
        <w:ind w:right="543"/>
        <w:rPr>
          <w:rFonts w:ascii="Arial" w:hAnsi="Arial" w:cs="Arial"/>
          <w:b/>
        </w:rPr>
      </w:pPr>
      <w:r w:rsidRPr="005E5282">
        <w:rPr>
          <w:rFonts w:ascii="Arial" w:hAnsi="Arial" w:cs="Arial"/>
          <w:b/>
        </w:rPr>
        <w:t xml:space="preserve">DIVISIONAL USE ONLY </w:t>
      </w:r>
    </w:p>
    <w:bookmarkEnd w:id="0"/>
    <w:p w14:paraId="76F1BC15" w14:textId="77777777" w:rsidR="009945F7" w:rsidRPr="005E5282" w:rsidRDefault="009945F7" w:rsidP="009945F7">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32C9713C" w14:textId="77777777" w:rsidR="009945F7" w:rsidRPr="005E5282" w:rsidRDefault="009945F7" w:rsidP="009945F7">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9945F7" w:rsidRPr="009D52D0" w14:paraId="23FE1820" w14:textId="77777777" w:rsidTr="009945F7">
        <w:trPr>
          <w:trHeight w:val="317"/>
          <w:tblHeader/>
        </w:trPr>
        <w:tc>
          <w:tcPr>
            <w:tcW w:w="1592" w:type="dxa"/>
            <w:shd w:val="clear" w:color="auto" w:fill="F2F2F2" w:themeFill="background1" w:themeFillShade="F2"/>
          </w:tcPr>
          <w:p w14:paraId="7509CB28" w14:textId="77777777" w:rsidR="009945F7" w:rsidRPr="009D52D0" w:rsidRDefault="009945F7" w:rsidP="0039733A">
            <w:pPr>
              <w:pStyle w:val="Tableoutcomeshead"/>
            </w:pPr>
            <w:r w:rsidRPr="009D52D0">
              <w:t>Date approved</w:t>
            </w:r>
          </w:p>
        </w:tc>
        <w:tc>
          <w:tcPr>
            <w:tcW w:w="1817" w:type="dxa"/>
            <w:shd w:val="clear" w:color="auto" w:fill="F2F2F2" w:themeFill="background1" w:themeFillShade="F2"/>
          </w:tcPr>
          <w:p w14:paraId="13C3BEDC" w14:textId="77777777" w:rsidR="009945F7" w:rsidRPr="009D52D0" w:rsidRDefault="009945F7" w:rsidP="0039733A">
            <w:pPr>
              <w:pStyle w:val="Tableoutcomeshead"/>
            </w:pPr>
            <w:r>
              <w:t>New/</w:t>
            </w:r>
            <w:r w:rsidRPr="009D52D0">
              <w:t>Major/</w:t>
            </w:r>
            <w:r>
              <w:t>M</w:t>
            </w:r>
            <w:r w:rsidRPr="009D52D0">
              <w:t>inor revision</w:t>
            </w:r>
          </w:p>
        </w:tc>
        <w:tc>
          <w:tcPr>
            <w:tcW w:w="2256" w:type="dxa"/>
            <w:shd w:val="clear" w:color="auto" w:fill="F2F2F2" w:themeFill="background1" w:themeFillShade="F2"/>
          </w:tcPr>
          <w:p w14:paraId="577DC52D" w14:textId="77777777" w:rsidR="009945F7" w:rsidRPr="009D52D0" w:rsidRDefault="009945F7" w:rsidP="0039733A">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0F024596" w14:textId="77777777" w:rsidR="009945F7" w:rsidRPr="009D52D0" w:rsidRDefault="009945F7" w:rsidP="0039733A">
            <w:pPr>
              <w:pStyle w:val="Tableoutcomeshead"/>
            </w:pPr>
            <w:r w:rsidRPr="009D52D0">
              <w:t>Section revised</w:t>
            </w:r>
            <w:r>
              <w:t xml:space="preserve"> (if applicable)</w:t>
            </w:r>
          </w:p>
        </w:tc>
        <w:tc>
          <w:tcPr>
            <w:tcW w:w="2459" w:type="dxa"/>
            <w:shd w:val="clear" w:color="auto" w:fill="F2F2F2" w:themeFill="background1" w:themeFillShade="F2"/>
          </w:tcPr>
          <w:p w14:paraId="65345718" w14:textId="77777777" w:rsidR="009945F7" w:rsidRPr="009D52D0" w:rsidRDefault="009945F7" w:rsidP="0039733A">
            <w:pPr>
              <w:pStyle w:val="Tableoutcomeshead"/>
            </w:pPr>
            <w:r w:rsidRPr="009D52D0">
              <w:t>Impacts PLOs (Q6</w:t>
            </w:r>
            <w:r>
              <w:t xml:space="preserve"> </w:t>
            </w:r>
            <w:r w:rsidRPr="009D52D0">
              <w:t>&amp;</w:t>
            </w:r>
            <w:r>
              <w:t xml:space="preserve"> </w:t>
            </w:r>
            <w:r w:rsidRPr="009D52D0">
              <w:t>7 cover sheet)</w:t>
            </w:r>
          </w:p>
        </w:tc>
      </w:tr>
      <w:tr w:rsidR="009945F7" w:rsidRPr="009D52D0" w14:paraId="645F60FD" w14:textId="77777777" w:rsidTr="009945F7">
        <w:trPr>
          <w:trHeight w:val="305"/>
        </w:trPr>
        <w:tc>
          <w:tcPr>
            <w:tcW w:w="1592" w:type="dxa"/>
          </w:tcPr>
          <w:p w14:paraId="65F04662" w14:textId="5F11351B" w:rsidR="009945F7" w:rsidRPr="009D52D0" w:rsidRDefault="009945F7" w:rsidP="009945F7">
            <w:pPr>
              <w:pStyle w:val="Tabledivuseonly"/>
            </w:pPr>
            <w:r w:rsidRPr="00E57EAE">
              <w:t>21.11.22</w:t>
            </w:r>
          </w:p>
        </w:tc>
        <w:tc>
          <w:tcPr>
            <w:tcW w:w="1817" w:type="dxa"/>
          </w:tcPr>
          <w:p w14:paraId="4DC917BC" w14:textId="322F2CCB" w:rsidR="009945F7" w:rsidRPr="009D52D0" w:rsidRDefault="009945F7" w:rsidP="009945F7">
            <w:pPr>
              <w:pStyle w:val="Tabledivuseonly"/>
            </w:pPr>
            <w:r w:rsidRPr="00E57EAE">
              <w:t>Major</w:t>
            </w:r>
          </w:p>
        </w:tc>
        <w:tc>
          <w:tcPr>
            <w:tcW w:w="2256" w:type="dxa"/>
          </w:tcPr>
          <w:p w14:paraId="36A063FC" w14:textId="47DDF8B3" w:rsidR="009945F7" w:rsidRPr="009D52D0" w:rsidRDefault="009945F7" w:rsidP="009945F7">
            <w:pPr>
              <w:pStyle w:val="Tabledivuseonly"/>
            </w:pPr>
            <w:r w:rsidRPr="00E57EAE">
              <w:t>Sept</w:t>
            </w:r>
            <w:r>
              <w:t>ember</w:t>
            </w:r>
            <w:r w:rsidRPr="00E57EAE">
              <w:t xml:space="preserve"> </w:t>
            </w:r>
            <w:r>
              <w:t>20</w:t>
            </w:r>
            <w:r w:rsidRPr="00E57EAE">
              <w:t>23</w:t>
            </w:r>
          </w:p>
        </w:tc>
        <w:tc>
          <w:tcPr>
            <w:tcW w:w="2077" w:type="dxa"/>
          </w:tcPr>
          <w:p w14:paraId="42288879" w14:textId="72CA5E3E" w:rsidR="009945F7" w:rsidRPr="009D52D0" w:rsidRDefault="009945F7" w:rsidP="009945F7">
            <w:pPr>
              <w:pStyle w:val="Tabledivuseonly"/>
            </w:pPr>
            <w:r w:rsidRPr="00E57EAE">
              <w:t>13.1</w:t>
            </w:r>
          </w:p>
        </w:tc>
        <w:tc>
          <w:tcPr>
            <w:tcW w:w="2459" w:type="dxa"/>
          </w:tcPr>
          <w:p w14:paraId="28086034" w14:textId="588E5D78" w:rsidR="009945F7" w:rsidRPr="009D52D0" w:rsidRDefault="009945F7" w:rsidP="009945F7">
            <w:pPr>
              <w:pStyle w:val="Tabledivuseonly"/>
            </w:pPr>
            <w:r w:rsidRPr="00E57EAE">
              <w:t>No</w:t>
            </w:r>
          </w:p>
        </w:tc>
      </w:tr>
      <w:tr w:rsidR="009945F7" w:rsidRPr="009D52D0" w14:paraId="3881A493" w14:textId="77777777" w:rsidTr="009945F7">
        <w:trPr>
          <w:trHeight w:val="305"/>
        </w:trPr>
        <w:tc>
          <w:tcPr>
            <w:tcW w:w="1592" w:type="dxa"/>
          </w:tcPr>
          <w:p w14:paraId="3A18A94B" w14:textId="77777777" w:rsidR="009945F7" w:rsidRPr="009D52D0" w:rsidRDefault="009945F7" w:rsidP="0039733A">
            <w:pPr>
              <w:pStyle w:val="Tabledivuseonly"/>
            </w:pPr>
          </w:p>
        </w:tc>
        <w:tc>
          <w:tcPr>
            <w:tcW w:w="1817" w:type="dxa"/>
          </w:tcPr>
          <w:p w14:paraId="5F2384DA" w14:textId="77777777" w:rsidR="009945F7" w:rsidRPr="009D52D0" w:rsidRDefault="009945F7" w:rsidP="0039733A">
            <w:pPr>
              <w:pStyle w:val="Tabledivuseonly"/>
            </w:pPr>
          </w:p>
        </w:tc>
        <w:tc>
          <w:tcPr>
            <w:tcW w:w="2256" w:type="dxa"/>
          </w:tcPr>
          <w:p w14:paraId="70AC7A88" w14:textId="77777777" w:rsidR="009945F7" w:rsidRPr="009D52D0" w:rsidRDefault="009945F7" w:rsidP="0039733A">
            <w:pPr>
              <w:pStyle w:val="Tabledivuseonly"/>
            </w:pPr>
          </w:p>
        </w:tc>
        <w:tc>
          <w:tcPr>
            <w:tcW w:w="2077" w:type="dxa"/>
          </w:tcPr>
          <w:p w14:paraId="23E59D5B" w14:textId="77777777" w:rsidR="009945F7" w:rsidRPr="009D52D0" w:rsidRDefault="009945F7" w:rsidP="0039733A">
            <w:pPr>
              <w:pStyle w:val="Tabledivuseonly"/>
            </w:pPr>
          </w:p>
        </w:tc>
        <w:tc>
          <w:tcPr>
            <w:tcW w:w="2459" w:type="dxa"/>
          </w:tcPr>
          <w:p w14:paraId="3AD27FE7" w14:textId="77777777" w:rsidR="009945F7" w:rsidRPr="009D52D0" w:rsidRDefault="009945F7" w:rsidP="0039733A">
            <w:pPr>
              <w:pStyle w:val="Tabledivuseonly"/>
            </w:pPr>
          </w:p>
        </w:tc>
      </w:tr>
    </w:tbl>
    <w:p w14:paraId="60936534" w14:textId="77777777" w:rsidR="009945F7" w:rsidRDefault="009945F7" w:rsidP="009945F7">
      <w:pPr>
        <w:spacing w:after="120" w:line="240" w:lineRule="auto"/>
        <w:ind w:right="543"/>
        <w:rPr>
          <w:rFonts w:ascii="Arial" w:hAnsi="Arial" w:cs="Arial"/>
          <w:sz w:val="24"/>
          <w:szCs w:val="24"/>
        </w:rPr>
      </w:pPr>
    </w:p>
    <w:p w14:paraId="6AA4F27B" w14:textId="77777777" w:rsidR="009945F7" w:rsidRPr="009D52D0" w:rsidRDefault="009945F7" w:rsidP="009D52D0">
      <w:pPr>
        <w:spacing w:after="120" w:line="240" w:lineRule="auto"/>
        <w:ind w:right="543"/>
        <w:rPr>
          <w:rFonts w:ascii="Arial" w:hAnsi="Arial" w:cs="Arial"/>
          <w:sz w:val="24"/>
          <w:szCs w:val="24"/>
        </w:rPr>
      </w:pPr>
    </w:p>
    <w:sectPr w:rsidR="009945F7" w:rsidRPr="009D52D0" w:rsidSect="00775AC1">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45D35B6" w:rsidR="008B2543" w:rsidRDefault="0019787E" w:rsidP="009A2D37">
        <w:pPr>
          <w:pStyle w:val="Footer"/>
          <w:jc w:val="center"/>
        </w:pPr>
        <w:r>
          <w:fldChar w:fldCharType="begin"/>
        </w:r>
        <w:r>
          <w:instrText xml:space="preserve"> PAGE   \* MERGEFORMAT </w:instrText>
        </w:r>
        <w:r>
          <w:fldChar w:fldCharType="separate"/>
        </w:r>
        <w:r w:rsidR="00B16D0B">
          <w:rPr>
            <w:noProof/>
          </w:rPr>
          <w:t>6</w:t>
        </w:r>
        <w:r>
          <w:rPr>
            <w:noProof/>
          </w:rPr>
          <w:fldChar w:fldCharType="end"/>
        </w:r>
      </w:p>
    </w:sdtContent>
  </w:sdt>
  <w:p w14:paraId="26569854" w14:textId="00305196" w:rsidR="008B2543" w:rsidRPr="007B7724" w:rsidRDefault="008B2543" w:rsidP="00775AC1">
    <w:pPr>
      <w:spacing w:after="0" w:line="240" w:lineRule="auto"/>
      <w:ind w:left="567" w:right="544"/>
      <w:jc w:val="both"/>
      <w:rPr>
        <w:rFonts w:ascii="Arial" w:hAnsi="Arial"/>
        <w:sz w:val="18"/>
      </w:rPr>
    </w:pPr>
    <w:r w:rsidRPr="007B7724">
      <w:rPr>
        <w:rFonts w:ascii="Arial" w:hAnsi="Arial"/>
        <w:sz w:val="18"/>
      </w:rPr>
      <w:t>Module Specification</w:t>
    </w:r>
    <w:r w:rsidR="00B4451C">
      <w:rPr>
        <w:rFonts w:ascii="Arial" w:hAnsi="Arial"/>
        <w:sz w:val="18"/>
      </w:rPr>
      <w:t xml:space="preserve">: </w:t>
    </w:r>
    <w:r w:rsidR="00B4451C" w:rsidRPr="00B4451C">
      <w:rPr>
        <w:rFonts w:ascii="Arial" w:hAnsi="Arial" w:cs="Arial"/>
        <w:sz w:val="18"/>
        <w:szCs w:val="18"/>
      </w:rPr>
      <w:t>ECON5830 Political Economy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54228FB0" w:rsidR="00EB41D1" w:rsidRDefault="00EB41D1" w:rsidP="00EB41D1">
        <w:pPr>
          <w:pStyle w:val="Footer"/>
          <w:jc w:val="center"/>
        </w:pPr>
        <w:r>
          <w:fldChar w:fldCharType="begin"/>
        </w:r>
        <w:r>
          <w:instrText xml:space="preserve"> PAGE   \* MERGEFORMAT </w:instrText>
        </w:r>
        <w:r>
          <w:fldChar w:fldCharType="separate"/>
        </w:r>
        <w:r w:rsidR="00B16D0B">
          <w:rPr>
            <w:noProof/>
          </w:rPr>
          <w:t>1</w:t>
        </w:r>
        <w:r>
          <w:rPr>
            <w:noProof/>
          </w:rPr>
          <w:fldChar w:fldCharType="end"/>
        </w:r>
      </w:p>
    </w:sdtContent>
  </w:sdt>
  <w:p w14:paraId="24F79DDC" w14:textId="2C348BBE" w:rsidR="00F17B94" w:rsidRPr="00B656D3" w:rsidRDefault="00B656D3" w:rsidP="00B656D3">
    <w:pPr>
      <w:spacing w:after="120" w:line="240" w:lineRule="auto"/>
      <w:ind w:left="567" w:right="543"/>
      <w:jc w:val="both"/>
      <w:rPr>
        <w:rFonts w:ascii="Arial" w:hAnsi="Arial"/>
        <w:sz w:val="18"/>
      </w:rPr>
    </w:pPr>
    <w:r w:rsidRPr="007B7724">
      <w:rPr>
        <w:rFonts w:ascii="Arial" w:hAnsi="Arial"/>
        <w:sz w:val="18"/>
      </w:rPr>
      <w:t>Module Specification</w:t>
    </w:r>
    <w:r>
      <w:rPr>
        <w:rFonts w:ascii="Arial" w:hAnsi="Arial"/>
        <w:sz w:val="18"/>
      </w:rPr>
      <w:t xml:space="preserve">: </w:t>
    </w:r>
    <w:r w:rsidRPr="00B4451C">
      <w:rPr>
        <w:rFonts w:ascii="Arial" w:hAnsi="Arial" w:cs="Arial"/>
        <w:sz w:val="18"/>
        <w:szCs w:val="18"/>
      </w:rPr>
      <w:t>ECON5830 Political Economy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883345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E28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269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F81E4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167A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32F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C6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AB5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18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087A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050280B"/>
    <w:multiLevelType w:val="hybridMultilevel"/>
    <w:tmpl w:val="F03CB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537159385">
    <w:abstractNumId w:val="11"/>
  </w:num>
  <w:num w:numId="2" w16cid:durableId="767311486">
    <w:abstractNumId w:val="9"/>
  </w:num>
  <w:num w:numId="3" w16cid:durableId="1462117678">
    <w:abstractNumId w:val="12"/>
  </w:num>
  <w:num w:numId="4" w16cid:durableId="1529492221">
    <w:abstractNumId w:val="10"/>
  </w:num>
  <w:num w:numId="5" w16cid:durableId="1049840680">
    <w:abstractNumId w:val="17"/>
  </w:num>
  <w:num w:numId="6" w16cid:durableId="1350722729">
    <w:abstractNumId w:val="15"/>
  </w:num>
  <w:num w:numId="7" w16cid:durableId="669867199">
    <w:abstractNumId w:val="19"/>
  </w:num>
  <w:num w:numId="8" w16cid:durableId="300383704">
    <w:abstractNumId w:val="16"/>
  </w:num>
  <w:num w:numId="9" w16cid:durableId="887451196">
    <w:abstractNumId w:val="13"/>
  </w:num>
  <w:num w:numId="10" w16cid:durableId="769276175">
    <w:abstractNumId w:val="14"/>
  </w:num>
  <w:num w:numId="11" w16cid:durableId="632758925">
    <w:abstractNumId w:val="20"/>
  </w:num>
  <w:num w:numId="12" w16cid:durableId="242035764">
    <w:abstractNumId w:val="18"/>
  </w:num>
  <w:num w:numId="13" w16cid:durableId="536897027">
    <w:abstractNumId w:val="7"/>
  </w:num>
  <w:num w:numId="14" w16cid:durableId="1789350578">
    <w:abstractNumId w:val="6"/>
  </w:num>
  <w:num w:numId="15" w16cid:durableId="880284774">
    <w:abstractNumId w:val="5"/>
  </w:num>
  <w:num w:numId="16" w16cid:durableId="1562131562">
    <w:abstractNumId w:val="4"/>
  </w:num>
  <w:num w:numId="17" w16cid:durableId="1771582638">
    <w:abstractNumId w:val="8"/>
  </w:num>
  <w:num w:numId="18" w16cid:durableId="514420432">
    <w:abstractNumId w:val="3"/>
  </w:num>
  <w:num w:numId="19" w16cid:durableId="805898432">
    <w:abstractNumId w:val="2"/>
  </w:num>
  <w:num w:numId="20" w16cid:durableId="1254778627">
    <w:abstractNumId w:val="1"/>
  </w:num>
  <w:num w:numId="21" w16cid:durableId="1268928337">
    <w:abstractNumId w:val="0"/>
  </w:num>
  <w:num w:numId="22" w16cid:durableId="647369755">
    <w:abstractNumId w:val="11"/>
  </w:num>
  <w:num w:numId="23" w16cid:durableId="2033800377">
    <w:abstractNumId w:val="11"/>
  </w:num>
  <w:num w:numId="24" w16cid:durableId="1957447013">
    <w:abstractNumId w:val="9"/>
  </w:num>
  <w:num w:numId="25" w16cid:durableId="51283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C9F"/>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188A"/>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117A"/>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07089"/>
    <w:rsid w:val="003142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7B72"/>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75AC1"/>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10A"/>
    <w:rsid w:val="009567BE"/>
    <w:rsid w:val="009676FA"/>
    <w:rsid w:val="009679E0"/>
    <w:rsid w:val="00977632"/>
    <w:rsid w:val="00982A8E"/>
    <w:rsid w:val="00987DB4"/>
    <w:rsid w:val="0099029D"/>
    <w:rsid w:val="009945F7"/>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6D0B"/>
    <w:rsid w:val="00B17024"/>
    <w:rsid w:val="00B17CD2"/>
    <w:rsid w:val="00B213D2"/>
    <w:rsid w:val="00B248BA"/>
    <w:rsid w:val="00B24B56"/>
    <w:rsid w:val="00B2615D"/>
    <w:rsid w:val="00B30E07"/>
    <w:rsid w:val="00B34ADD"/>
    <w:rsid w:val="00B4451C"/>
    <w:rsid w:val="00B52FF5"/>
    <w:rsid w:val="00B5498B"/>
    <w:rsid w:val="00B57219"/>
    <w:rsid w:val="00B656D3"/>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0AF"/>
    <w:rsid w:val="00C2492F"/>
    <w:rsid w:val="00C3744A"/>
    <w:rsid w:val="00C4002A"/>
    <w:rsid w:val="00C46912"/>
    <w:rsid w:val="00C612A8"/>
    <w:rsid w:val="00C618D2"/>
    <w:rsid w:val="00C66DC6"/>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3668"/>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307"/>
    <w:rsid w:val="00FA4704"/>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C1"/>
    <w:rPr>
      <w:rFonts w:eastAsiaTheme="minorEastAsia"/>
      <w:lang w:eastAsia="en-GB"/>
    </w:rPr>
  </w:style>
  <w:style w:type="paragraph" w:styleId="Heading1">
    <w:name w:val="heading 1"/>
    <w:basedOn w:val="Normal"/>
    <w:next w:val="Normal"/>
    <w:link w:val="Heading1Char"/>
    <w:qFormat/>
    <w:rsid w:val="00775AC1"/>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775AC1"/>
    <w:pPr>
      <w:ind w:left="567" w:hanging="567"/>
      <w:outlineLvl w:val="1"/>
    </w:pPr>
  </w:style>
  <w:style w:type="paragraph" w:styleId="Heading3">
    <w:name w:val="heading 3"/>
    <w:basedOn w:val="Normal"/>
    <w:next w:val="Normal"/>
    <w:link w:val="Heading3Char"/>
    <w:uiPriority w:val="9"/>
    <w:unhideWhenUsed/>
    <w:qFormat/>
    <w:rsid w:val="00775A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75AC1"/>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AC1"/>
    <w:rPr>
      <w:color w:val="0000FF"/>
      <w:u w:val="single"/>
    </w:rPr>
  </w:style>
  <w:style w:type="paragraph" w:customStyle="1" w:styleId="Default">
    <w:name w:val="Default"/>
    <w:rsid w:val="00775AC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775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AC1"/>
    <w:pPr>
      <w:ind w:left="720"/>
      <w:contextualSpacing/>
    </w:pPr>
  </w:style>
  <w:style w:type="paragraph" w:styleId="Header">
    <w:name w:val="header"/>
    <w:basedOn w:val="Normal"/>
    <w:link w:val="HeaderChar"/>
    <w:uiPriority w:val="99"/>
    <w:unhideWhenUsed/>
    <w:rsid w:val="0077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AC1"/>
    <w:rPr>
      <w:rFonts w:eastAsiaTheme="minorEastAsia"/>
      <w:lang w:eastAsia="en-GB"/>
    </w:rPr>
  </w:style>
  <w:style w:type="paragraph" w:styleId="Footer">
    <w:name w:val="footer"/>
    <w:basedOn w:val="Normal"/>
    <w:link w:val="FooterChar"/>
    <w:uiPriority w:val="99"/>
    <w:unhideWhenUsed/>
    <w:rsid w:val="00775AC1"/>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775AC1"/>
    <w:rPr>
      <w:rFonts w:ascii="Arial" w:eastAsiaTheme="minorEastAsia" w:hAnsi="Arial"/>
      <w:sz w:val="20"/>
      <w:lang w:eastAsia="en-GB"/>
    </w:rPr>
  </w:style>
  <w:style w:type="character" w:customStyle="1" w:styleId="Heading1Char">
    <w:name w:val="Heading 1 Char"/>
    <w:basedOn w:val="DefaultParagraphFont"/>
    <w:link w:val="Heading1"/>
    <w:rsid w:val="00775AC1"/>
    <w:rPr>
      <w:rFonts w:ascii="Plantin" w:eastAsia="Times New Roman" w:hAnsi="Plantin" w:cs="Times New Roman"/>
      <w:b/>
      <w:sz w:val="24"/>
      <w:szCs w:val="20"/>
    </w:rPr>
  </w:style>
  <w:style w:type="paragraph" w:styleId="ListBullet">
    <w:name w:val="List Bullet"/>
    <w:basedOn w:val="Normal"/>
    <w:uiPriority w:val="99"/>
    <w:unhideWhenUsed/>
    <w:rsid w:val="0095610A"/>
    <w:pPr>
      <w:numPr>
        <w:numId w:val="24"/>
      </w:numPr>
      <w:spacing w:before="120" w:after="120" w:line="240" w:lineRule="auto"/>
      <w:ind w:left="1066" w:hanging="357"/>
    </w:pPr>
    <w:rPr>
      <w:rFonts w:ascii="Arial" w:hAnsi="Arial"/>
      <w:sz w:val="24"/>
    </w:rPr>
  </w:style>
  <w:style w:type="table" w:styleId="TableGrid">
    <w:name w:val="Table Grid"/>
    <w:basedOn w:val="TableNormal"/>
    <w:uiPriority w:val="59"/>
    <w:rsid w:val="00775AC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75AC1"/>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775AC1"/>
    <w:rPr>
      <w:rFonts w:ascii="Plantin" w:eastAsia="Times New Roman" w:hAnsi="Plantin" w:cs="Times New Roman"/>
      <w:b/>
      <w:sz w:val="24"/>
      <w:szCs w:val="20"/>
    </w:rPr>
  </w:style>
  <w:style w:type="paragraph" w:styleId="FootnoteText">
    <w:name w:val="footnote text"/>
    <w:basedOn w:val="Normal"/>
    <w:link w:val="FootnoteTextChar"/>
    <w:semiHidden/>
    <w:rsid w:val="00775AC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775AC1"/>
    <w:rPr>
      <w:rFonts w:ascii="Times New Roman" w:eastAsia="Times New Roman" w:hAnsi="Times New Roman" w:cs="Times New Roman"/>
      <w:sz w:val="20"/>
      <w:szCs w:val="20"/>
    </w:rPr>
  </w:style>
  <w:style w:type="character" w:styleId="FootnoteReference">
    <w:name w:val="footnote reference"/>
    <w:semiHidden/>
    <w:rsid w:val="00775AC1"/>
    <w:rPr>
      <w:vertAlign w:val="superscript"/>
    </w:rPr>
  </w:style>
  <w:style w:type="paragraph" w:styleId="BalloonText">
    <w:name w:val="Balloon Text"/>
    <w:basedOn w:val="Normal"/>
    <w:link w:val="BalloonTextChar"/>
    <w:uiPriority w:val="99"/>
    <w:semiHidden/>
    <w:unhideWhenUsed/>
    <w:rsid w:val="0077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1"/>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775AC1"/>
    <w:rPr>
      <w:color w:val="800080" w:themeColor="followedHyperlink"/>
      <w:u w:val="single"/>
    </w:rPr>
  </w:style>
  <w:style w:type="character" w:styleId="CommentReference">
    <w:name w:val="annotation reference"/>
    <w:basedOn w:val="DefaultParagraphFont"/>
    <w:uiPriority w:val="99"/>
    <w:semiHidden/>
    <w:unhideWhenUsed/>
    <w:rsid w:val="00775AC1"/>
    <w:rPr>
      <w:sz w:val="16"/>
      <w:szCs w:val="16"/>
    </w:rPr>
  </w:style>
  <w:style w:type="paragraph" w:styleId="CommentText">
    <w:name w:val="annotation text"/>
    <w:basedOn w:val="Normal"/>
    <w:link w:val="CommentTextChar"/>
    <w:uiPriority w:val="99"/>
    <w:semiHidden/>
    <w:unhideWhenUsed/>
    <w:rsid w:val="00775AC1"/>
    <w:pPr>
      <w:spacing w:line="240" w:lineRule="auto"/>
    </w:pPr>
    <w:rPr>
      <w:sz w:val="20"/>
      <w:szCs w:val="20"/>
    </w:rPr>
  </w:style>
  <w:style w:type="character" w:customStyle="1" w:styleId="CommentTextChar">
    <w:name w:val="Comment Text Char"/>
    <w:basedOn w:val="DefaultParagraphFont"/>
    <w:link w:val="CommentText"/>
    <w:uiPriority w:val="99"/>
    <w:semiHidden/>
    <w:rsid w:val="00775AC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75AC1"/>
    <w:rPr>
      <w:b/>
      <w:bCs/>
    </w:rPr>
  </w:style>
  <w:style w:type="character" w:customStyle="1" w:styleId="CommentSubjectChar">
    <w:name w:val="Comment Subject Char"/>
    <w:basedOn w:val="CommentTextChar"/>
    <w:link w:val="CommentSubject"/>
    <w:uiPriority w:val="99"/>
    <w:semiHidden/>
    <w:rsid w:val="00775AC1"/>
    <w:rPr>
      <w:rFonts w:eastAsiaTheme="minorEastAsia"/>
      <w:b/>
      <w:bCs/>
      <w:sz w:val="20"/>
      <w:szCs w:val="20"/>
      <w:lang w:eastAsia="en-GB"/>
    </w:rPr>
  </w:style>
  <w:style w:type="table" w:customStyle="1" w:styleId="TableGrid1">
    <w:name w:val="Table Grid1"/>
    <w:basedOn w:val="TableNormal"/>
    <w:next w:val="TableGrid"/>
    <w:uiPriority w:val="59"/>
    <w:rsid w:val="0077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775AC1"/>
  </w:style>
  <w:style w:type="paragraph" w:styleId="PlainText">
    <w:name w:val="Plain Text"/>
    <w:basedOn w:val="Normal"/>
    <w:link w:val="PlainTextChar"/>
    <w:uiPriority w:val="99"/>
    <w:unhideWhenUsed/>
    <w:rsid w:val="00775AC1"/>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75AC1"/>
    <w:rPr>
      <w:rFonts w:ascii="Calibri" w:hAnsi="Calibri"/>
      <w:szCs w:val="21"/>
    </w:rPr>
  </w:style>
  <w:style w:type="table" w:styleId="LightList">
    <w:name w:val="Light List"/>
    <w:basedOn w:val="TableNormal"/>
    <w:uiPriority w:val="61"/>
    <w:rsid w:val="00775A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775AC1"/>
    <w:rPr>
      <w:b/>
      <w:bCs/>
    </w:rPr>
  </w:style>
  <w:style w:type="character" w:customStyle="1" w:styleId="UnresolvedMention1">
    <w:name w:val="Unresolved Mention1"/>
    <w:basedOn w:val="DefaultParagraphFont"/>
    <w:uiPriority w:val="99"/>
    <w:semiHidden/>
    <w:unhideWhenUsed/>
    <w:rsid w:val="00775AC1"/>
    <w:rPr>
      <w:color w:val="605E5C"/>
      <w:shd w:val="clear" w:color="auto" w:fill="E1DFDD"/>
    </w:rPr>
  </w:style>
  <w:style w:type="table" w:customStyle="1" w:styleId="TableGrid11">
    <w:name w:val="Table Grid11"/>
    <w:basedOn w:val="TableNormal"/>
    <w:next w:val="TableGrid"/>
    <w:uiPriority w:val="59"/>
    <w:rsid w:val="0077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775AC1"/>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775AC1"/>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775AC1"/>
    <w:rPr>
      <w:rFonts w:ascii="Arial" w:eastAsiaTheme="minorEastAsia" w:hAnsi="Arial" w:cs="Arial"/>
      <w:b/>
      <w:sz w:val="24"/>
      <w:szCs w:val="24"/>
      <w:lang w:eastAsia="en-GB"/>
    </w:rPr>
  </w:style>
  <w:style w:type="paragraph" w:styleId="Revision">
    <w:name w:val="Revision"/>
    <w:hidden/>
    <w:uiPriority w:val="99"/>
    <w:semiHidden/>
    <w:rsid w:val="00B4451C"/>
    <w:pPr>
      <w:spacing w:after="0" w:line="240" w:lineRule="auto"/>
    </w:pPr>
    <w:rPr>
      <w:rFonts w:eastAsiaTheme="minorEastAsia"/>
      <w:lang w:eastAsia="en-GB"/>
    </w:rPr>
  </w:style>
  <w:style w:type="paragraph" w:styleId="BodyText">
    <w:name w:val="Body Text"/>
    <w:basedOn w:val="Normal"/>
    <w:link w:val="BodyTextChar"/>
    <w:uiPriority w:val="99"/>
    <w:unhideWhenUsed/>
    <w:rsid w:val="00775AC1"/>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775AC1"/>
    <w:rPr>
      <w:rFonts w:ascii="Arial" w:eastAsiaTheme="minorEastAsia" w:hAnsi="Arial"/>
      <w:sz w:val="24"/>
      <w:lang w:eastAsia="en-GB"/>
    </w:rPr>
  </w:style>
  <w:style w:type="character" w:customStyle="1" w:styleId="Heading3Char">
    <w:name w:val="Heading 3 Char"/>
    <w:basedOn w:val="DefaultParagraphFont"/>
    <w:link w:val="Heading3"/>
    <w:uiPriority w:val="9"/>
    <w:rsid w:val="00775AC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775AC1"/>
    <w:rPr>
      <w:rFonts w:ascii="Arial" w:eastAsiaTheme="majorEastAsia" w:hAnsi="Arial" w:cstheme="majorBidi"/>
      <w:b/>
      <w:i/>
      <w:iCs/>
      <w:lang w:eastAsia="en-GB"/>
    </w:rPr>
  </w:style>
  <w:style w:type="paragraph" w:styleId="ListNumber2">
    <w:name w:val="List Number 2"/>
    <w:basedOn w:val="BodyText"/>
    <w:uiPriority w:val="99"/>
    <w:unhideWhenUsed/>
    <w:rsid w:val="00775AC1"/>
    <w:pPr>
      <w:ind w:left="1021" w:hanging="454"/>
    </w:pPr>
  </w:style>
  <w:style w:type="paragraph" w:styleId="ListNumber3">
    <w:name w:val="List Number 3"/>
    <w:basedOn w:val="Normal"/>
    <w:uiPriority w:val="99"/>
    <w:unhideWhenUsed/>
    <w:rsid w:val="00775AC1"/>
    <w:pPr>
      <w:numPr>
        <w:numId w:val="25"/>
      </w:numPr>
      <w:spacing w:before="120" w:after="240" w:line="240" w:lineRule="auto"/>
    </w:pPr>
    <w:rPr>
      <w:rFonts w:ascii="Arial" w:hAnsi="Arial"/>
      <w:sz w:val="24"/>
    </w:rPr>
  </w:style>
  <w:style w:type="paragraph" w:customStyle="1" w:styleId="Tableanswer">
    <w:name w:val="Table answer"/>
    <w:basedOn w:val="Normal"/>
    <w:qFormat/>
    <w:rsid w:val="00775AC1"/>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775AC1"/>
    <w:pPr>
      <w:spacing w:after="120" w:line="240" w:lineRule="auto"/>
    </w:pPr>
    <w:rPr>
      <w:rFonts w:ascii="Arial" w:hAnsi="Arial" w:cs="Arial"/>
      <w:sz w:val="20"/>
      <w:szCs w:val="20"/>
    </w:rPr>
  </w:style>
  <w:style w:type="paragraph" w:customStyle="1" w:styleId="Tableoutcomecrosses">
    <w:name w:val="Table outcome crosses"/>
    <w:basedOn w:val="Normal"/>
    <w:qFormat/>
    <w:rsid w:val="00775AC1"/>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775AC1"/>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775AC1"/>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775AC1"/>
    <w:rPr>
      <w:color w:val="605E5C"/>
      <w:shd w:val="clear" w:color="auto" w:fill="E1DFDD"/>
    </w:rPr>
  </w:style>
  <w:style w:type="paragraph" w:styleId="ListNumber">
    <w:name w:val="List Number"/>
    <w:basedOn w:val="Normal"/>
    <w:uiPriority w:val="99"/>
    <w:unhideWhenUsed/>
    <w:rsid w:val="00775AC1"/>
    <w:pPr>
      <w:numPr>
        <w:numId w:val="17"/>
      </w:numPr>
      <w:spacing w:before="120" w:after="120" w:line="240" w:lineRule="auto"/>
      <w:ind w:left="1066" w:hanging="357"/>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C09A-3960-4BB6-81BC-165B9497E8B2}"/>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2006/documentManagement/types"/>
    <ds:schemaRef ds:uri="http://purl.org/dc/elements/1.1/"/>
    <ds:schemaRef ds:uri="fe6ac463-7d16-4f7e-a9c7-d94014c384ed"/>
    <ds:schemaRef ds:uri="http://schemas.openxmlformats.org/package/2006/metadata/core-properties"/>
    <ds:schemaRef ds:uri="http://purl.org/dc/dcmitype/"/>
    <ds:schemaRef ds:uri="http://schemas.microsoft.com/office/infopath/2007/PartnerControls"/>
    <ds:schemaRef ds:uri="http://purl.org/dc/terms/"/>
    <ds:schemaRef ds:uri="0f061cf8-965b-41d1-b73f-08c05eb051be"/>
    <ds:schemaRef ds:uri="http://www.w3.org/XML/1998/namespace"/>
  </ds:schemaRefs>
</ds:datastoreItem>
</file>

<file path=customXml/itemProps4.xml><?xml version="1.0" encoding="utf-8"?>
<ds:datastoreItem xmlns:ds="http://schemas.openxmlformats.org/officeDocument/2006/customXml" ds:itemID="{2D8C2E84-DE8B-4A68-BEAF-433BEC4E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2023-01-11T10:18:00Z</dcterms:created>
  <dcterms:modified xsi:type="dcterms:W3CDTF">2023-01-11T10:37:00Z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