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290658" w14:textId="3A6026E1" w:rsidR="009A2D37" w:rsidRPr="00072357" w:rsidRDefault="00E1736E" w:rsidP="00072357">
      <w:pPr>
        <w:pStyle w:val="header2"/>
      </w:pPr>
      <w:r>
        <w:t>KentVision Code and t</w:t>
      </w:r>
      <w:r w:rsidR="009A2D37" w:rsidRPr="00072357">
        <w:t>itle of the module</w:t>
      </w:r>
    </w:p>
    <w:p w14:paraId="4AE52586" w14:textId="23E2ED00" w:rsidR="009A2D37" w:rsidRPr="00694B52" w:rsidRDefault="00591599" w:rsidP="00244745">
      <w:pPr>
        <w:spacing w:after="120" w:line="240" w:lineRule="auto"/>
        <w:ind w:left="720" w:right="543"/>
        <w:jc w:val="both"/>
        <w:rPr>
          <w:rFonts w:ascii="Arial" w:hAnsi="Arial" w:cs="Arial"/>
          <w:sz w:val="24"/>
          <w:szCs w:val="24"/>
        </w:rPr>
      </w:pPr>
      <w:r>
        <w:rPr>
          <w:rFonts w:ascii="Arial" w:hAnsi="Arial" w:cs="Arial"/>
          <w:sz w:val="24"/>
          <w:szCs w:val="24"/>
        </w:rPr>
        <w:t>CPLT5000</w:t>
      </w:r>
      <w:r w:rsidR="00453433">
        <w:rPr>
          <w:rFonts w:ascii="Arial" w:hAnsi="Arial" w:cs="Arial"/>
          <w:sz w:val="24"/>
          <w:szCs w:val="24"/>
        </w:rPr>
        <w:t xml:space="preserve"> </w:t>
      </w:r>
      <w:r w:rsidR="00641F51">
        <w:rPr>
          <w:rFonts w:ascii="Arial" w:hAnsi="Arial" w:cs="Arial"/>
          <w:sz w:val="24"/>
          <w:szCs w:val="24"/>
        </w:rPr>
        <w:t>Ghosts in Literature and Film</w:t>
      </w:r>
    </w:p>
    <w:p w14:paraId="53DD716D" w14:textId="77777777" w:rsidR="00694B52" w:rsidRPr="009D52D0" w:rsidRDefault="00694B52" w:rsidP="009D52D0">
      <w:pPr>
        <w:spacing w:after="120" w:line="240" w:lineRule="auto"/>
        <w:ind w:left="426" w:right="543"/>
        <w:jc w:val="both"/>
        <w:rPr>
          <w:rFonts w:ascii="Arial" w:hAnsi="Arial" w:cs="Arial"/>
          <w:sz w:val="24"/>
          <w:szCs w:val="24"/>
        </w:rPr>
      </w:pPr>
    </w:p>
    <w:p w14:paraId="71554414" w14:textId="66149F08" w:rsidR="009A2D37" w:rsidRPr="00B2615D" w:rsidRDefault="007A49C1" w:rsidP="00072357">
      <w:pPr>
        <w:pStyle w:val="Heading2"/>
      </w:pPr>
      <w:r w:rsidRPr="00B2615D">
        <w:t>Division</w:t>
      </w:r>
      <w:r w:rsidR="009A2D37" w:rsidRPr="00B2615D">
        <w:t xml:space="preserve"> </w:t>
      </w:r>
      <w:r w:rsidR="000674E0">
        <w:t xml:space="preserve">and School/Department </w:t>
      </w:r>
      <w:r w:rsidR="009A2D37" w:rsidRPr="00B2615D">
        <w:t>or partner institution which will be responsible for management of the module</w:t>
      </w:r>
    </w:p>
    <w:p w14:paraId="6F21992A" w14:textId="4B6B4324" w:rsidR="009A2D37" w:rsidRDefault="00126E5A" w:rsidP="00244745">
      <w:pPr>
        <w:spacing w:after="120" w:line="240" w:lineRule="auto"/>
        <w:ind w:left="720" w:right="543"/>
        <w:jc w:val="both"/>
        <w:rPr>
          <w:rFonts w:ascii="Arial" w:hAnsi="Arial" w:cs="Arial"/>
          <w:iCs/>
          <w:sz w:val="24"/>
          <w:szCs w:val="24"/>
        </w:rPr>
      </w:pPr>
      <w:r>
        <w:rPr>
          <w:rFonts w:ascii="Arial" w:hAnsi="Arial" w:cs="Arial"/>
          <w:iCs/>
          <w:sz w:val="24"/>
          <w:szCs w:val="24"/>
        </w:rPr>
        <w:t xml:space="preserve">Arts and Humanities, </w:t>
      </w:r>
      <w:r w:rsidR="00641F51">
        <w:rPr>
          <w:rFonts w:ascii="Arial" w:hAnsi="Arial" w:cs="Arial"/>
          <w:iCs/>
          <w:sz w:val="24"/>
          <w:szCs w:val="24"/>
        </w:rPr>
        <w:t>Comparative Literature</w:t>
      </w:r>
    </w:p>
    <w:p w14:paraId="76FDE1A8" w14:textId="77777777" w:rsidR="00694B52" w:rsidRPr="00694B52" w:rsidRDefault="00694B52" w:rsidP="009D52D0">
      <w:pPr>
        <w:spacing w:after="120" w:line="240" w:lineRule="auto"/>
        <w:ind w:left="426" w:right="543"/>
        <w:jc w:val="both"/>
        <w:rPr>
          <w:rFonts w:ascii="Arial" w:hAnsi="Arial" w:cs="Arial"/>
          <w:iCs/>
          <w:sz w:val="24"/>
          <w:szCs w:val="24"/>
        </w:rPr>
      </w:pPr>
    </w:p>
    <w:p w14:paraId="04C6DE8C" w14:textId="77777777" w:rsidR="009A2D37" w:rsidRPr="009D52D0" w:rsidRDefault="00883204" w:rsidP="00072357">
      <w:pPr>
        <w:pStyle w:val="Heading2"/>
      </w:pPr>
      <w:r w:rsidRPr="009D52D0">
        <w:t>The level of the module (</w:t>
      </w:r>
      <w:r w:rsidR="00D83563" w:rsidRPr="009D52D0">
        <w:t>Level</w:t>
      </w:r>
      <w:r w:rsidR="00441E76" w:rsidRPr="009D52D0">
        <w:t xml:space="preserve"> 4</w:t>
      </w:r>
      <w:r w:rsidR="001D0C7D" w:rsidRPr="009D52D0">
        <w:t xml:space="preserve">, </w:t>
      </w:r>
      <w:r w:rsidR="00441E76" w:rsidRPr="009D52D0">
        <w:t>Level 5</w:t>
      </w:r>
      <w:r w:rsidR="001D0C7D" w:rsidRPr="009D52D0">
        <w:t xml:space="preserve">, </w:t>
      </w:r>
      <w:r w:rsidR="00441E76" w:rsidRPr="009D52D0">
        <w:t>Level 6</w:t>
      </w:r>
      <w:r w:rsidR="001D0C7D" w:rsidRPr="009D52D0">
        <w:t xml:space="preserve"> or </w:t>
      </w:r>
      <w:r w:rsidR="00C612A8" w:rsidRPr="009D52D0">
        <w:t>L</w:t>
      </w:r>
      <w:r w:rsidR="00441E76" w:rsidRPr="009D52D0">
        <w:t>evel 7</w:t>
      </w:r>
      <w:r w:rsidR="009A2D37" w:rsidRPr="009D52D0">
        <w:t>)</w:t>
      </w:r>
    </w:p>
    <w:p w14:paraId="5C5465B8" w14:textId="60FC084A" w:rsidR="009A2D37" w:rsidRDefault="00641F51" w:rsidP="00244745">
      <w:pPr>
        <w:spacing w:after="120" w:line="240" w:lineRule="auto"/>
        <w:ind w:left="720" w:right="543"/>
        <w:jc w:val="both"/>
        <w:rPr>
          <w:rFonts w:ascii="Arial" w:hAnsi="Arial" w:cs="Arial"/>
          <w:sz w:val="24"/>
          <w:szCs w:val="24"/>
        </w:rPr>
      </w:pPr>
      <w:r>
        <w:rPr>
          <w:rFonts w:ascii="Arial" w:hAnsi="Arial" w:cs="Arial"/>
          <w:sz w:val="24"/>
          <w:szCs w:val="24"/>
        </w:rPr>
        <w:t>Level 5</w:t>
      </w:r>
    </w:p>
    <w:p w14:paraId="2CCF1AE9" w14:textId="77777777" w:rsidR="00694B52" w:rsidRPr="00694B52" w:rsidRDefault="00694B52" w:rsidP="009D52D0">
      <w:pPr>
        <w:spacing w:after="120" w:line="240" w:lineRule="auto"/>
        <w:ind w:left="426" w:right="543"/>
        <w:jc w:val="both"/>
        <w:rPr>
          <w:rFonts w:ascii="Arial" w:hAnsi="Arial" w:cs="Arial"/>
          <w:iCs/>
          <w:sz w:val="24"/>
          <w:szCs w:val="24"/>
        </w:rPr>
      </w:pPr>
    </w:p>
    <w:p w14:paraId="20483909" w14:textId="77777777" w:rsidR="009A2D37" w:rsidRPr="009D52D0" w:rsidRDefault="009A2D37" w:rsidP="00072357">
      <w:pPr>
        <w:pStyle w:val="Heading2"/>
      </w:pPr>
      <w:r w:rsidRPr="009D52D0">
        <w:t xml:space="preserve">The number of credits and the ECTS value which the module represents </w:t>
      </w:r>
    </w:p>
    <w:p w14:paraId="0DC0C053" w14:textId="1F240D2E" w:rsidR="009A2D37" w:rsidRDefault="00641F51" w:rsidP="00244745">
      <w:pPr>
        <w:spacing w:after="120" w:line="240" w:lineRule="auto"/>
        <w:ind w:left="720" w:right="543"/>
        <w:rPr>
          <w:rFonts w:ascii="Arial" w:hAnsi="Arial" w:cs="Arial"/>
          <w:sz w:val="24"/>
          <w:szCs w:val="24"/>
        </w:rPr>
      </w:pPr>
      <w:r w:rsidRPr="00641F51">
        <w:rPr>
          <w:rFonts w:ascii="Arial" w:hAnsi="Arial" w:cs="Arial"/>
          <w:sz w:val="24"/>
          <w:szCs w:val="24"/>
        </w:rPr>
        <w:t>15 Credits (7.5 ECTS)</w:t>
      </w:r>
    </w:p>
    <w:p w14:paraId="369EF084" w14:textId="77777777" w:rsidR="00694B52" w:rsidRPr="00694B52" w:rsidRDefault="00694B52" w:rsidP="009D52D0">
      <w:pPr>
        <w:spacing w:after="120" w:line="240" w:lineRule="auto"/>
        <w:ind w:left="426" w:right="543"/>
        <w:rPr>
          <w:rFonts w:ascii="Arial" w:hAnsi="Arial" w:cs="Arial"/>
          <w:sz w:val="24"/>
          <w:szCs w:val="24"/>
        </w:rPr>
      </w:pPr>
    </w:p>
    <w:p w14:paraId="0A7DD2EB" w14:textId="77777777" w:rsidR="009A2D37" w:rsidRPr="009D52D0" w:rsidRDefault="009A2D37" w:rsidP="00072357">
      <w:pPr>
        <w:pStyle w:val="Heading2"/>
      </w:pPr>
      <w:r w:rsidRPr="009D52D0">
        <w:t>Which term(s) the module is to be taught in (or other teaching pattern)</w:t>
      </w:r>
    </w:p>
    <w:p w14:paraId="1811487B" w14:textId="1ACA3E44" w:rsidR="009A2D37" w:rsidRDefault="00641F51" w:rsidP="00244745">
      <w:pPr>
        <w:spacing w:after="120" w:line="240" w:lineRule="auto"/>
        <w:ind w:left="720" w:right="543"/>
        <w:rPr>
          <w:rFonts w:ascii="Arial" w:hAnsi="Arial" w:cs="Arial"/>
          <w:iCs/>
          <w:sz w:val="24"/>
          <w:szCs w:val="24"/>
        </w:rPr>
      </w:pPr>
      <w:r>
        <w:rPr>
          <w:rFonts w:ascii="Arial" w:hAnsi="Arial" w:cs="Arial"/>
          <w:iCs/>
          <w:sz w:val="24"/>
          <w:szCs w:val="24"/>
        </w:rPr>
        <w:t xml:space="preserve">Autumn or </w:t>
      </w:r>
      <w:proofErr w:type="gramStart"/>
      <w:r>
        <w:rPr>
          <w:rFonts w:ascii="Arial" w:hAnsi="Arial" w:cs="Arial"/>
          <w:iCs/>
          <w:sz w:val="24"/>
          <w:szCs w:val="24"/>
        </w:rPr>
        <w:t>Spring</w:t>
      </w:r>
      <w:proofErr w:type="gramEnd"/>
    </w:p>
    <w:p w14:paraId="6A16589E" w14:textId="77777777" w:rsidR="00694B52" w:rsidRPr="00694B52" w:rsidRDefault="00694B52" w:rsidP="009D52D0">
      <w:pPr>
        <w:spacing w:after="120" w:line="240" w:lineRule="auto"/>
        <w:ind w:left="426" w:right="543"/>
        <w:rPr>
          <w:rFonts w:ascii="Arial" w:hAnsi="Arial" w:cs="Arial"/>
          <w:iCs/>
          <w:sz w:val="24"/>
          <w:szCs w:val="24"/>
        </w:rPr>
      </w:pPr>
    </w:p>
    <w:p w14:paraId="76529F9A" w14:textId="1E4AB6DA" w:rsidR="009A2D37" w:rsidRDefault="009A2D37" w:rsidP="00072357">
      <w:pPr>
        <w:pStyle w:val="Heading2"/>
      </w:pPr>
      <w:r w:rsidRPr="009D52D0">
        <w:t>Prerequisite and co-requisite modules</w:t>
      </w:r>
      <w:r w:rsidR="00E1736E">
        <w:t xml:space="preserve"> and/or any module restrictions</w:t>
      </w:r>
    </w:p>
    <w:p w14:paraId="5AC1E0F6" w14:textId="1A931675" w:rsidR="009A2D37" w:rsidRDefault="00641F51" w:rsidP="00244745">
      <w:pPr>
        <w:spacing w:after="120" w:line="240" w:lineRule="auto"/>
        <w:ind w:left="720" w:right="543"/>
        <w:rPr>
          <w:rFonts w:ascii="Arial" w:hAnsi="Arial" w:cs="Arial"/>
          <w:iCs/>
          <w:sz w:val="24"/>
          <w:szCs w:val="24"/>
        </w:rPr>
      </w:pPr>
      <w:r>
        <w:rPr>
          <w:rFonts w:ascii="Arial" w:hAnsi="Arial" w:cs="Arial"/>
          <w:iCs/>
          <w:sz w:val="24"/>
          <w:szCs w:val="24"/>
        </w:rPr>
        <w:t>N</w:t>
      </w:r>
      <w:r w:rsidR="00453433">
        <w:rPr>
          <w:rFonts w:ascii="Arial" w:hAnsi="Arial" w:cs="Arial"/>
          <w:iCs/>
          <w:sz w:val="24"/>
          <w:szCs w:val="24"/>
        </w:rPr>
        <w:t>one</w:t>
      </w:r>
    </w:p>
    <w:p w14:paraId="5AE02DAF" w14:textId="77777777" w:rsidR="00694B52" w:rsidRPr="00694B52" w:rsidRDefault="00694B52" w:rsidP="009D52D0">
      <w:pPr>
        <w:spacing w:after="120" w:line="240" w:lineRule="auto"/>
        <w:ind w:left="426" w:right="543"/>
        <w:rPr>
          <w:rFonts w:ascii="Arial" w:hAnsi="Arial" w:cs="Arial"/>
          <w:iCs/>
          <w:sz w:val="24"/>
          <w:szCs w:val="24"/>
        </w:rPr>
      </w:pPr>
    </w:p>
    <w:p w14:paraId="65457720" w14:textId="77777777" w:rsidR="009A2D37" w:rsidRPr="009D52D0" w:rsidRDefault="009A2D37" w:rsidP="00072357">
      <w:pPr>
        <w:pStyle w:val="Heading2"/>
      </w:pPr>
      <w:r w:rsidRPr="009D52D0">
        <w:t xml:space="preserve">The </w:t>
      </w:r>
      <w:r w:rsidR="007A49C1" w:rsidRPr="009D52D0">
        <w:t>course(s)</w:t>
      </w:r>
      <w:r w:rsidRPr="009D52D0">
        <w:t xml:space="preserve"> of study to which the module contributes</w:t>
      </w:r>
    </w:p>
    <w:p w14:paraId="7C1FF55C" w14:textId="77777777" w:rsidR="00FE30D8" w:rsidRDefault="00E1736E" w:rsidP="00244745">
      <w:pPr>
        <w:spacing w:after="120" w:line="240" w:lineRule="auto"/>
        <w:ind w:left="720" w:right="543"/>
        <w:rPr>
          <w:rFonts w:ascii="Arial" w:hAnsi="Arial" w:cs="Arial"/>
          <w:iCs/>
          <w:sz w:val="24"/>
          <w:szCs w:val="24"/>
        </w:rPr>
      </w:pPr>
      <w:r>
        <w:rPr>
          <w:rFonts w:ascii="Arial" w:hAnsi="Arial" w:cs="Arial"/>
          <w:iCs/>
          <w:sz w:val="24"/>
          <w:szCs w:val="24"/>
        </w:rPr>
        <w:t>Optional to the following courses:</w:t>
      </w:r>
      <w:r w:rsidR="00641F51">
        <w:rPr>
          <w:rFonts w:ascii="Arial" w:hAnsi="Arial" w:cs="Arial"/>
          <w:iCs/>
          <w:sz w:val="24"/>
          <w:szCs w:val="24"/>
        </w:rPr>
        <w:t xml:space="preserve"> </w:t>
      </w:r>
    </w:p>
    <w:p w14:paraId="49396994" w14:textId="55AE4D45" w:rsidR="00E1736E" w:rsidRDefault="00FE30D8" w:rsidP="00244745">
      <w:pPr>
        <w:spacing w:after="120" w:line="240" w:lineRule="auto"/>
        <w:ind w:left="720" w:right="543"/>
        <w:rPr>
          <w:rFonts w:ascii="Arial" w:hAnsi="Arial" w:cs="Arial"/>
          <w:iCs/>
          <w:sz w:val="24"/>
          <w:szCs w:val="24"/>
        </w:rPr>
      </w:pPr>
      <w:r>
        <w:rPr>
          <w:rFonts w:ascii="Arial" w:hAnsi="Arial" w:cs="Arial"/>
          <w:iCs/>
          <w:sz w:val="24"/>
          <w:szCs w:val="24"/>
        </w:rPr>
        <w:t xml:space="preserve">BA </w:t>
      </w:r>
      <w:r w:rsidR="00641F51">
        <w:rPr>
          <w:rFonts w:ascii="Arial" w:hAnsi="Arial" w:cs="Arial"/>
          <w:iCs/>
          <w:sz w:val="24"/>
          <w:szCs w:val="24"/>
        </w:rPr>
        <w:t>Comparative Literature</w:t>
      </w:r>
      <w:r w:rsidR="00EF7644">
        <w:rPr>
          <w:rFonts w:ascii="Arial" w:hAnsi="Arial" w:cs="Arial"/>
          <w:iCs/>
          <w:sz w:val="24"/>
          <w:szCs w:val="24"/>
        </w:rPr>
        <w:t xml:space="preserve"> </w:t>
      </w:r>
    </w:p>
    <w:p w14:paraId="1AD722A4" w14:textId="45188948" w:rsidR="00FE30D8" w:rsidRDefault="00FE30D8" w:rsidP="00244745">
      <w:pPr>
        <w:spacing w:after="120" w:line="240" w:lineRule="auto"/>
        <w:ind w:left="720" w:right="543"/>
        <w:rPr>
          <w:rFonts w:ascii="Arial" w:hAnsi="Arial" w:cs="Arial"/>
          <w:iCs/>
          <w:sz w:val="24"/>
          <w:szCs w:val="24"/>
        </w:rPr>
      </w:pPr>
      <w:r>
        <w:rPr>
          <w:rFonts w:ascii="Arial" w:hAnsi="Arial" w:cs="Arial"/>
          <w:iCs/>
          <w:sz w:val="24"/>
          <w:szCs w:val="24"/>
        </w:rPr>
        <w:t>BA Comparative Literature (Joint Honours)</w:t>
      </w:r>
    </w:p>
    <w:p w14:paraId="119D9EC5" w14:textId="29FB66BE" w:rsidR="00E1736E" w:rsidRDefault="00E1736E" w:rsidP="00244745">
      <w:pPr>
        <w:spacing w:after="120" w:line="240" w:lineRule="auto"/>
        <w:ind w:left="720" w:right="543"/>
        <w:rPr>
          <w:rFonts w:ascii="Arial" w:hAnsi="Arial" w:cs="Arial"/>
          <w:iCs/>
          <w:sz w:val="24"/>
          <w:szCs w:val="24"/>
        </w:rPr>
      </w:pPr>
      <w:r>
        <w:rPr>
          <w:rFonts w:ascii="Arial" w:hAnsi="Arial" w:cs="Arial"/>
          <w:iCs/>
          <w:sz w:val="24"/>
          <w:szCs w:val="24"/>
        </w:rPr>
        <w:t>Also available as an elective module</w:t>
      </w:r>
    </w:p>
    <w:p w14:paraId="28CC1478" w14:textId="77777777" w:rsidR="00694B52" w:rsidRPr="00694B52" w:rsidRDefault="00694B52" w:rsidP="009D52D0">
      <w:pPr>
        <w:spacing w:after="120" w:line="240" w:lineRule="auto"/>
        <w:ind w:left="426" w:right="543"/>
        <w:rPr>
          <w:rFonts w:ascii="Arial" w:hAnsi="Arial" w:cs="Arial"/>
          <w:iCs/>
          <w:sz w:val="24"/>
          <w:szCs w:val="24"/>
        </w:rPr>
      </w:pPr>
    </w:p>
    <w:p w14:paraId="3839F6AB" w14:textId="77777777" w:rsidR="009A2D37" w:rsidRPr="009D52D0" w:rsidRDefault="009A2D37" w:rsidP="00072357">
      <w:pPr>
        <w:pStyle w:val="Heading2"/>
        <w:jc w:val="left"/>
      </w:pPr>
      <w:r w:rsidRPr="009D52D0">
        <w:t>The intended subject specific learning outcomes</w:t>
      </w:r>
      <w:r w:rsidR="00C729D7" w:rsidRPr="009D52D0">
        <w:t>.</w:t>
      </w:r>
      <w:r w:rsidR="00C729D7" w:rsidRPr="009D52D0">
        <w:br/>
        <w:t>On successfully completing the module students will be able to:</w:t>
      </w:r>
    </w:p>
    <w:p w14:paraId="12D84DCA" w14:textId="019D023E" w:rsidR="00EF7644" w:rsidRPr="00453433" w:rsidRDefault="00B02337" w:rsidP="00453433">
      <w:pPr>
        <w:pStyle w:val="header2"/>
        <w:numPr>
          <w:ilvl w:val="1"/>
          <w:numId w:val="12"/>
        </w:numPr>
        <w:rPr>
          <w:b w:val="0"/>
        </w:rPr>
      </w:pPr>
      <w:r>
        <w:rPr>
          <w:b w:val="0"/>
        </w:rPr>
        <w:t xml:space="preserve"> </w:t>
      </w:r>
      <w:r w:rsidR="00EF7644" w:rsidRPr="00453433">
        <w:rPr>
          <w:b w:val="0"/>
        </w:rPr>
        <w:t>Demonstrate awareness of, and ability to, analyse supernatural tropes in a range of global fiction and the political, g</w:t>
      </w:r>
      <w:r w:rsidR="00EE71CC" w:rsidRPr="00453433">
        <w:rPr>
          <w:b w:val="0"/>
        </w:rPr>
        <w:t>ender, and ethnic questions these inexplicable events</w:t>
      </w:r>
      <w:r w:rsidR="00EF7644" w:rsidRPr="00453433">
        <w:rPr>
          <w:b w:val="0"/>
        </w:rPr>
        <w:t xml:space="preserve"> raise</w:t>
      </w:r>
      <w:r w:rsidR="00EE71CC" w:rsidRPr="00453433">
        <w:rPr>
          <w:b w:val="0"/>
        </w:rPr>
        <w:t>;</w:t>
      </w:r>
      <w:bookmarkStart w:id="0" w:name="_GoBack"/>
      <w:bookmarkEnd w:id="0"/>
    </w:p>
    <w:p w14:paraId="0AD6D072" w14:textId="7C84FF02" w:rsidR="00EF7644" w:rsidRPr="00453433" w:rsidRDefault="00B02337" w:rsidP="00453433">
      <w:pPr>
        <w:pStyle w:val="header2"/>
        <w:numPr>
          <w:ilvl w:val="1"/>
          <w:numId w:val="12"/>
        </w:numPr>
        <w:rPr>
          <w:b w:val="0"/>
        </w:rPr>
      </w:pPr>
      <w:r>
        <w:rPr>
          <w:b w:val="0"/>
        </w:rPr>
        <w:t xml:space="preserve"> </w:t>
      </w:r>
      <w:r w:rsidR="00EF7644" w:rsidRPr="00453433">
        <w:rPr>
          <w:b w:val="0"/>
        </w:rPr>
        <w:t>Demonstrate a</w:t>
      </w:r>
      <w:r w:rsidR="00126E5A">
        <w:rPr>
          <w:b w:val="0"/>
        </w:rPr>
        <w:t xml:space="preserve"> detailed</w:t>
      </w:r>
      <w:r w:rsidR="006E193C">
        <w:rPr>
          <w:b w:val="0"/>
        </w:rPr>
        <w:t xml:space="preserve"> </w:t>
      </w:r>
      <w:r w:rsidR="00EF7644" w:rsidRPr="00453433">
        <w:rPr>
          <w:b w:val="0"/>
        </w:rPr>
        <w:t>understanding of the interplay between ideology and the supernatural</w:t>
      </w:r>
      <w:r w:rsidR="00126E5A">
        <w:rPr>
          <w:b w:val="0"/>
        </w:rPr>
        <w:t>;</w:t>
      </w:r>
      <w:r w:rsidR="00EF7644" w:rsidRPr="00453433">
        <w:rPr>
          <w:b w:val="0"/>
        </w:rPr>
        <w:t xml:space="preserve"> </w:t>
      </w:r>
    </w:p>
    <w:p w14:paraId="6E075A29" w14:textId="59CF8F6C" w:rsidR="00EF7644" w:rsidRPr="00453433" w:rsidRDefault="00B02337" w:rsidP="00453433">
      <w:pPr>
        <w:pStyle w:val="header2"/>
        <w:numPr>
          <w:ilvl w:val="1"/>
          <w:numId w:val="12"/>
        </w:numPr>
        <w:rPr>
          <w:b w:val="0"/>
        </w:rPr>
      </w:pPr>
      <w:r>
        <w:rPr>
          <w:b w:val="0"/>
        </w:rPr>
        <w:t xml:space="preserve"> </w:t>
      </w:r>
      <w:r w:rsidR="00EF7644" w:rsidRPr="00453433">
        <w:rPr>
          <w:b w:val="0"/>
        </w:rPr>
        <w:t>Demonstrate a</w:t>
      </w:r>
      <w:r w:rsidR="006E193C">
        <w:rPr>
          <w:b w:val="0"/>
        </w:rPr>
        <w:t xml:space="preserve"> </w:t>
      </w:r>
      <w:r w:rsidR="00126E5A">
        <w:rPr>
          <w:b w:val="0"/>
        </w:rPr>
        <w:t>detailed</w:t>
      </w:r>
      <w:r w:rsidR="00EF7644" w:rsidRPr="00453433">
        <w:rPr>
          <w:b w:val="0"/>
        </w:rPr>
        <w:t xml:space="preserve"> understanding of the </w:t>
      </w:r>
      <w:r w:rsidR="00EE71CC" w:rsidRPr="00453433">
        <w:rPr>
          <w:b w:val="0"/>
        </w:rPr>
        <w:t>development of ghosts in literature, from classical antiquity to the present day;</w:t>
      </w:r>
    </w:p>
    <w:p w14:paraId="2B1AD24E" w14:textId="07F42C71" w:rsidR="00EF7644" w:rsidRPr="00453433" w:rsidRDefault="00B02337" w:rsidP="00453433">
      <w:pPr>
        <w:pStyle w:val="header2"/>
        <w:numPr>
          <w:ilvl w:val="1"/>
          <w:numId w:val="12"/>
        </w:numPr>
        <w:rPr>
          <w:b w:val="0"/>
        </w:rPr>
      </w:pPr>
      <w:r>
        <w:rPr>
          <w:b w:val="0"/>
        </w:rPr>
        <w:t xml:space="preserve"> </w:t>
      </w:r>
      <w:r w:rsidR="00EF7644" w:rsidRPr="00453433">
        <w:rPr>
          <w:b w:val="0"/>
        </w:rPr>
        <w:t>Demonstrate a</w:t>
      </w:r>
      <w:r w:rsidR="007A1668">
        <w:rPr>
          <w:b w:val="0"/>
        </w:rPr>
        <w:t xml:space="preserve"> systematic</w:t>
      </w:r>
      <w:r w:rsidR="00EF7644" w:rsidRPr="00453433">
        <w:rPr>
          <w:b w:val="0"/>
        </w:rPr>
        <w:t xml:space="preserve"> understanding of </w:t>
      </w:r>
      <w:r w:rsidR="00EE71CC" w:rsidRPr="00453433">
        <w:rPr>
          <w:b w:val="0"/>
        </w:rPr>
        <w:t>theories and methodologies that shaped the conceptualisation of ghosts and the supernatural.</w:t>
      </w:r>
    </w:p>
    <w:p w14:paraId="78DBC597" w14:textId="58916D2F" w:rsidR="007A1668" w:rsidRDefault="007A1668" w:rsidP="007A1668">
      <w:pPr>
        <w:pStyle w:val="Heading2"/>
        <w:numPr>
          <w:ilvl w:val="0"/>
          <w:numId w:val="0"/>
        </w:numPr>
        <w:ind w:left="567"/>
      </w:pPr>
      <w:proofErr w:type="gramStart"/>
      <w:r>
        <w:rPr>
          <w:b w:val="0"/>
        </w:rPr>
        <w:lastRenderedPageBreak/>
        <w:t>8.</w:t>
      </w:r>
      <w:r w:rsidR="00B02337">
        <w:rPr>
          <w:b w:val="0"/>
        </w:rPr>
        <w:t xml:space="preserve">5  </w:t>
      </w:r>
      <w:r w:rsidRPr="00AC22DA">
        <w:rPr>
          <w:b w:val="0"/>
        </w:rPr>
        <w:t>Manage</w:t>
      </w:r>
      <w:proofErr w:type="gramEnd"/>
      <w:r w:rsidRPr="00AC22DA">
        <w:rPr>
          <w:b w:val="0"/>
        </w:rPr>
        <w:t xml:space="preserve"> their own learning on the topic of </w:t>
      </w:r>
      <w:r>
        <w:rPr>
          <w:b w:val="0"/>
        </w:rPr>
        <w:t>ghosts and the supernatural</w:t>
      </w:r>
      <w:r w:rsidRPr="00AC22DA">
        <w:rPr>
          <w:b w:val="0"/>
        </w:rPr>
        <w:t xml:space="preserve">, </w:t>
      </w:r>
      <w:r>
        <w:rPr>
          <w:b w:val="0"/>
        </w:rPr>
        <w:t>making</w:t>
      </w:r>
      <w:r w:rsidRPr="00AC22DA">
        <w:rPr>
          <w:b w:val="0"/>
        </w:rPr>
        <w:t xml:space="preserve"> </w:t>
      </w:r>
      <w:r>
        <w:rPr>
          <w:b w:val="0"/>
        </w:rPr>
        <w:t xml:space="preserve">critical </w:t>
      </w:r>
      <w:r w:rsidRPr="00AC22DA">
        <w:rPr>
          <w:b w:val="0"/>
        </w:rPr>
        <w:t xml:space="preserve">use of </w:t>
      </w:r>
      <w:r>
        <w:rPr>
          <w:b w:val="0"/>
        </w:rPr>
        <w:t>primary sources, secondary sources, and comparative methodologies</w:t>
      </w:r>
      <w:r w:rsidRPr="00AC22DA">
        <w:rPr>
          <w:b w:val="0"/>
        </w:rPr>
        <w:t>.</w:t>
      </w:r>
    </w:p>
    <w:p w14:paraId="256A8AC3" w14:textId="77777777" w:rsidR="008D4447" w:rsidRPr="008D4447" w:rsidRDefault="008D4447" w:rsidP="009D52D0">
      <w:pPr>
        <w:spacing w:after="120" w:line="240" w:lineRule="auto"/>
        <w:ind w:left="426" w:right="543"/>
        <w:rPr>
          <w:rFonts w:ascii="Arial" w:hAnsi="Arial" w:cs="Arial"/>
          <w:b/>
          <w:sz w:val="24"/>
          <w:szCs w:val="24"/>
        </w:rPr>
      </w:pPr>
    </w:p>
    <w:p w14:paraId="035A14B0" w14:textId="77777777" w:rsidR="00C729D7" w:rsidRPr="009D52D0" w:rsidRDefault="009A2D37" w:rsidP="00072357">
      <w:pPr>
        <w:pStyle w:val="Heading2"/>
        <w:jc w:val="left"/>
      </w:pPr>
      <w:r w:rsidRPr="009D52D0">
        <w:t>The intended generic learning outcomes</w:t>
      </w:r>
      <w:r w:rsidR="00C729D7" w:rsidRPr="009D52D0">
        <w:t>.</w:t>
      </w:r>
      <w:r w:rsidR="00C729D7" w:rsidRPr="009D52D0">
        <w:br/>
        <w:t>On successfully completing the module students will be able to:</w:t>
      </w:r>
    </w:p>
    <w:p w14:paraId="74E601AE" w14:textId="5C295F30" w:rsidR="00EE71CC" w:rsidRPr="00453433" w:rsidRDefault="00B02337" w:rsidP="00A86D74">
      <w:pPr>
        <w:pStyle w:val="header2"/>
        <w:numPr>
          <w:ilvl w:val="1"/>
          <w:numId w:val="15"/>
        </w:numPr>
        <w:rPr>
          <w:b w:val="0"/>
        </w:rPr>
      </w:pPr>
      <w:r>
        <w:rPr>
          <w:b w:val="0"/>
        </w:rPr>
        <w:t xml:space="preserve"> </w:t>
      </w:r>
      <w:r w:rsidR="00EE71CC" w:rsidRPr="00453433">
        <w:rPr>
          <w:b w:val="0"/>
        </w:rPr>
        <w:t>Demonstrate refined communication skills, including the structuring of an original argument, through the writing of essays which will enable students to write a cogent discussion, developing an independent argument;</w:t>
      </w:r>
    </w:p>
    <w:p w14:paraId="36DB6541" w14:textId="0E222011" w:rsidR="00EE71CC" w:rsidRPr="00453433" w:rsidRDefault="00B02337" w:rsidP="00A86D74">
      <w:pPr>
        <w:pStyle w:val="header2"/>
        <w:numPr>
          <w:ilvl w:val="1"/>
          <w:numId w:val="15"/>
        </w:numPr>
        <w:rPr>
          <w:b w:val="0"/>
        </w:rPr>
      </w:pPr>
      <w:r>
        <w:rPr>
          <w:b w:val="0"/>
        </w:rPr>
        <w:t xml:space="preserve"> </w:t>
      </w:r>
      <w:r w:rsidR="00EE71CC" w:rsidRPr="00453433">
        <w:rPr>
          <w:b w:val="0"/>
        </w:rPr>
        <w:t>Demonstrate and improve ability to read closely and critically, and to apply a range of critical terms to texts;</w:t>
      </w:r>
    </w:p>
    <w:p w14:paraId="31D8601B" w14:textId="273FB3DD" w:rsidR="00273CF0" w:rsidRPr="00453433" w:rsidRDefault="00B02337" w:rsidP="00A86D74">
      <w:pPr>
        <w:pStyle w:val="header2"/>
        <w:numPr>
          <w:ilvl w:val="1"/>
          <w:numId w:val="15"/>
        </w:numPr>
        <w:rPr>
          <w:b w:val="0"/>
        </w:rPr>
      </w:pPr>
      <w:r>
        <w:rPr>
          <w:b w:val="0"/>
        </w:rPr>
        <w:t xml:space="preserve"> </w:t>
      </w:r>
      <w:r w:rsidR="00EE71CC" w:rsidRPr="00453433">
        <w:rPr>
          <w:b w:val="0"/>
        </w:rPr>
        <w:t>Engage critically and systematically with recent criticism.</w:t>
      </w:r>
      <w:r w:rsidR="00EE71CC" w:rsidRPr="00453433">
        <w:rPr>
          <w:b w:val="0"/>
        </w:rPr>
        <w:tab/>
      </w:r>
    </w:p>
    <w:p w14:paraId="54EBC02D" w14:textId="77777777" w:rsidR="008D4447" w:rsidRPr="00453433" w:rsidRDefault="008D4447" w:rsidP="009D52D0">
      <w:pPr>
        <w:spacing w:after="120" w:line="240" w:lineRule="auto"/>
        <w:ind w:left="567" w:right="543"/>
        <w:rPr>
          <w:rFonts w:ascii="Arial" w:hAnsi="Arial" w:cs="Arial"/>
          <w:sz w:val="24"/>
          <w:szCs w:val="24"/>
        </w:rPr>
      </w:pPr>
    </w:p>
    <w:p w14:paraId="73386C6A" w14:textId="77777777" w:rsidR="009A2D37" w:rsidRPr="00453433" w:rsidRDefault="009A2D37" w:rsidP="00072357">
      <w:pPr>
        <w:pStyle w:val="Heading2"/>
      </w:pPr>
      <w:r w:rsidRPr="00453433">
        <w:t>A synopsis of the curriculum</w:t>
      </w:r>
    </w:p>
    <w:p w14:paraId="56A41831" w14:textId="528C4835" w:rsidR="009A2D37" w:rsidRDefault="00EE71CC" w:rsidP="00A86D74">
      <w:pPr>
        <w:spacing w:after="120" w:line="240" w:lineRule="auto"/>
        <w:ind w:left="720" w:right="543"/>
        <w:rPr>
          <w:rFonts w:ascii="Arial" w:hAnsi="Arial" w:cs="Arial"/>
          <w:iCs/>
          <w:sz w:val="24"/>
          <w:szCs w:val="24"/>
        </w:rPr>
      </w:pPr>
      <w:r w:rsidRPr="00EE71CC">
        <w:rPr>
          <w:rFonts w:ascii="Arial" w:hAnsi="Arial" w:cs="Arial"/>
          <w:iCs/>
          <w:sz w:val="24"/>
          <w:szCs w:val="24"/>
        </w:rPr>
        <w:t xml:space="preserve">Ghosts and eerie appearances have long haunted the literary imagination. Variously known as spirits, shades, </w:t>
      </w:r>
      <w:r w:rsidR="00263321" w:rsidRPr="00EE71CC">
        <w:rPr>
          <w:rFonts w:ascii="Arial" w:hAnsi="Arial" w:cs="Arial"/>
          <w:iCs/>
          <w:sz w:val="24"/>
          <w:szCs w:val="24"/>
        </w:rPr>
        <w:t>spectres</w:t>
      </w:r>
      <w:r w:rsidRPr="00EE71CC">
        <w:rPr>
          <w:rFonts w:ascii="Arial" w:hAnsi="Arial" w:cs="Arial"/>
          <w:iCs/>
          <w:sz w:val="24"/>
          <w:szCs w:val="24"/>
        </w:rPr>
        <w:t>, phantoms, revenants, and apparitions, the forlorn figure of the ghost is one of literature’s most beguiling creations, spanning a long tradition from the classics to the present day. As liminal entities caught between life and death, restless ghosts return to the world of the living demanding justice, revenge, and remembrance, but also craving love, affection, and even their favourite food. At the same time, ghosts are meaningful symbols expressive of our innermost fears and anxieties about death, loss, disease, mortality, and the afterlife, as well as potent signifiers at the intersections of gender, politics, history, and empire. In the module’s first part, students will explore the depiction of ghosts in foundational texts by Homer, Virgil, Boccaccio, Shakespeare, and Oscar Wilde. In the second part, students will explore the representation of ghosts, death, and the afterlife in Latin American tales and films, with a particular focus on the Mexican Day of the Dead and the ghosts of the ‘disappeared’ in Argentina.</w:t>
      </w:r>
    </w:p>
    <w:p w14:paraId="7040E90A" w14:textId="77777777" w:rsidR="008D4447" w:rsidRPr="008D4447" w:rsidRDefault="008D4447" w:rsidP="009D52D0">
      <w:pPr>
        <w:spacing w:after="120" w:line="240" w:lineRule="auto"/>
        <w:ind w:left="426" w:right="543"/>
        <w:rPr>
          <w:rFonts w:ascii="Arial" w:hAnsi="Arial" w:cs="Arial"/>
          <w:iCs/>
          <w:sz w:val="24"/>
          <w:szCs w:val="24"/>
        </w:rPr>
      </w:pPr>
    </w:p>
    <w:p w14:paraId="05E3877E" w14:textId="77777777" w:rsidR="00636058" w:rsidRDefault="00883204" w:rsidP="00895D3C">
      <w:pPr>
        <w:pStyle w:val="Heading2"/>
      </w:pPr>
      <w:r w:rsidRPr="009D52D0">
        <w:t>Reading l</w:t>
      </w:r>
      <w:r w:rsidR="009A2D37" w:rsidRPr="009D52D0">
        <w:t xml:space="preserve">ist </w:t>
      </w:r>
    </w:p>
    <w:p w14:paraId="6574CE52" w14:textId="4D1C00BF" w:rsidR="00636058" w:rsidRDefault="00636058" w:rsidP="00591599">
      <w:pPr>
        <w:pStyle w:val="Heading2"/>
        <w:numPr>
          <w:ilvl w:val="0"/>
          <w:numId w:val="0"/>
        </w:numPr>
        <w:ind w:left="720"/>
        <w:rPr>
          <w:b w:val="0"/>
          <w:bCs/>
        </w:rPr>
      </w:pPr>
      <w:r w:rsidRPr="00636058">
        <w:rPr>
          <w:b w:val="0"/>
          <w:bCs/>
        </w:rPr>
        <w:t xml:space="preserve">The University is committed to ensuring that core reading materials are in accessible electronic format in line with the Kent Inclusive Practices. </w:t>
      </w:r>
    </w:p>
    <w:p w14:paraId="6A052CDF" w14:textId="26E72AFD" w:rsidR="00636058" w:rsidRDefault="00636058" w:rsidP="00591599">
      <w:pPr>
        <w:pStyle w:val="Heading2"/>
        <w:numPr>
          <w:ilvl w:val="0"/>
          <w:numId w:val="0"/>
        </w:numPr>
        <w:ind w:left="720"/>
        <w:rPr>
          <w:b w:val="0"/>
          <w:bCs/>
        </w:rPr>
      </w:pPr>
      <w:r w:rsidRPr="00636058">
        <w:rPr>
          <w:b w:val="0"/>
          <w:bCs/>
        </w:rPr>
        <w:t xml:space="preserve">The most up to date reading list for each module can be found on the university's </w:t>
      </w:r>
      <w:hyperlink r:id="rId8" w:history="1">
        <w:r w:rsidRPr="00636058">
          <w:rPr>
            <w:rStyle w:val="Hyperlink"/>
            <w:b w:val="0"/>
            <w:bCs/>
          </w:rPr>
          <w:t>reading list pages</w:t>
        </w:r>
      </w:hyperlink>
      <w:r w:rsidRPr="00636058">
        <w:rPr>
          <w:b w:val="0"/>
          <w:bCs/>
        </w:rPr>
        <w:t xml:space="preserve">. </w:t>
      </w:r>
    </w:p>
    <w:p w14:paraId="27343F51" w14:textId="68E3DC74" w:rsidR="00EE71CC" w:rsidRDefault="00EE71CC" w:rsidP="00591599">
      <w:pPr>
        <w:spacing w:after="0" w:line="240" w:lineRule="auto"/>
        <w:ind w:left="720" w:right="543"/>
        <w:jc w:val="both"/>
        <w:rPr>
          <w:rFonts w:ascii="Arial" w:hAnsi="Arial" w:cs="Arial"/>
          <w:sz w:val="24"/>
          <w:szCs w:val="24"/>
          <w:lang w:val="en-US"/>
        </w:rPr>
      </w:pPr>
      <w:r w:rsidRPr="00364BB7">
        <w:rPr>
          <w:rFonts w:ascii="Arial" w:hAnsi="Arial" w:cs="Arial"/>
          <w:sz w:val="24"/>
          <w:szCs w:val="24"/>
          <w:lang w:val="en-US"/>
        </w:rPr>
        <w:t>Homer</w:t>
      </w:r>
      <w:r>
        <w:rPr>
          <w:rFonts w:ascii="Arial" w:hAnsi="Arial" w:cs="Arial"/>
          <w:sz w:val="24"/>
          <w:szCs w:val="24"/>
          <w:lang w:val="en-US"/>
        </w:rPr>
        <w:t>.</w:t>
      </w:r>
      <w:r w:rsidRPr="00364BB7">
        <w:rPr>
          <w:rFonts w:ascii="Arial" w:hAnsi="Arial" w:cs="Arial"/>
          <w:sz w:val="24"/>
          <w:szCs w:val="24"/>
          <w:lang w:val="en-US"/>
        </w:rPr>
        <w:t xml:space="preserve"> </w:t>
      </w:r>
      <w:r w:rsidRPr="007756C8">
        <w:rPr>
          <w:rFonts w:ascii="Arial" w:hAnsi="Arial" w:cs="Arial"/>
          <w:i/>
          <w:sz w:val="24"/>
          <w:szCs w:val="24"/>
          <w:lang w:val="en-US"/>
        </w:rPr>
        <w:t>The Odyssey</w:t>
      </w:r>
      <w:r w:rsidR="002A1D60">
        <w:rPr>
          <w:rFonts w:ascii="Arial" w:hAnsi="Arial" w:cs="Arial"/>
          <w:sz w:val="24"/>
          <w:szCs w:val="24"/>
          <w:lang w:val="en-US"/>
        </w:rPr>
        <w:t xml:space="preserve"> [</w:t>
      </w:r>
      <w:r w:rsidRPr="00364BB7">
        <w:rPr>
          <w:rFonts w:ascii="Arial" w:hAnsi="Arial" w:cs="Arial"/>
          <w:sz w:val="24"/>
          <w:szCs w:val="24"/>
          <w:lang w:val="en-US"/>
        </w:rPr>
        <w:t>extracts</w:t>
      </w:r>
      <w:r w:rsidR="002A1D60">
        <w:rPr>
          <w:rFonts w:ascii="Arial" w:hAnsi="Arial" w:cs="Arial"/>
          <w:sz w:val="24"/>
          <w:szCs w:val="24"/>
          <w:lang w:val="en-US"/>
        </w:rPr>
        <w:t>]</w:t>
      </w:r>
      <w:r>
        <w:rPr>
          <w:rFonts w:ascii="Arial" w:hAnsi="Arial" w:cs="Arial"/>
          <w:sz w:val="24"/>
          <w:szCs w:val="24"/>
          <w:lang w:val="en-US"/>
        </w:rPr>
        <w:t xml:space="preserve">. </w:t>
      </w:r>
    </w:p>
    <w:p w14:paraId="1A6DC957" w14:textId="1F176C40" w:rsidR="00EE71CC" w:rsidRPr="00364BB7" w:rsidRDefault="00EE71CC" w:rsidP="00591599">
      <w:pPr>
        <w:spacing w:after="0" w:line="240" w:lineRule="auto"/>
        <w:ind w:left="720" w:right="543"/>
        <w:jc w:val="both"/>
        <w:rPr>
          <w:rFonts w:ascii="Arial" w:hAnsi="Arial" w:cs="Arial"/>
          <w:sz w:val="24"/>
          <w:szCs w:val="24"/>
          <w:lang w:val="en-US"/>
        </w:rPr>
      </w:pPr>
      <w:r>
        <w:rPr>
          <w:rFonts w:ascii="Arial" w:hAnsi="Arial" w:cs="Arial"/>
          <w:sz w:val="24"/>
          <w:szCs w:val="24"/>
          <w:lang w:val="en-US"/>
        </w:rPr>
        <w:t xml:space="preserve">Virgil. </w:t>
      </w:r>
      <w:r w:rsidRPr="00192072">
        <w:rPr>
          <w:rFonts w:ascii="Arial" w:hAnsi="Arial" w:cs="Arial"/>
          <w:i/>
          <w:sz w:val="24"/>
          <w:szCs w:val="24"/>
          <w:lang w:val="en-US"/>
        </w:rPr>
        <w:t>The Aeneid</w:t>
      </w:r>
      <w:r w:rsidR="002A1D60">
        <w:rPr>
          <w:rFonts w:ascii="Arial" w:hAnsi="Arial" w:cs="Arial"/>
          <w:sz w:val="24"/>
          <w:szCs w:val="24"/>
          <w:lang w:val="en-US"/>
        </w:rPr>
        <w:t xml:space="preserve"> [</w:t>
      </w:r>
      <w:r w:rsidR="002A1D60" w:rsidRPr="00364BB7">
        <w:rPr>
          <w:rFonts w:ascii="Arial" w:hAnsi="Arial" w:cs="Arial"/>
          <w:sz w:val="24"/>
          <w:szCs w:val="24"/>
          <w:lang w:val="en-US"/>
        </w:rPr>
        <w:t>extracts</w:t>
      </w:r>
      <w:r w:rsidR="002A1D60">
        <w:rPr>
          <w:rFonts w:ascii="Arial" w:hAnsi="Arial" w:cs="Arial"/>
          <w:sz w:val="24"/>
          <w:szCs w:val="24"/>
          <w:lang w:val="en-US"/>
        </w:rPr>
        <w:t>].</w:t>
      </w:r>
    </w:p>
    <w:p w14:paraId="00D1C9F4" w14:textId="2D4679C9" w:rsidR="00EE71CC" w:rsidRPr="00364BB7" w:rsidRDefault="00EE71CC" w:rsidP="00591599">
      <w:pPr>
        <w:spacing w:after="0" w:line="240" w:lineRule="auto"/>
        <w:ind w:left="720" w:right="543"/>
        <w:jc w:val="both"/>
        <w:rPr>
          <w:rFonts w:ascii="Arial" w:hAnsi="Arial" w:cs="Arial"/>
          <w:sz w:val="24"/>
          <w:szCs w:val="24"/>
          <w:lang w:val="en-US"/>
        </w:rPr>
      </w:pPr>
      <w:r>
        <w:rPr>
          <w:rFonts w:ascii="Arial" w:hAnsi="Arial" w:cs="Arial"/>
          <w:sz w:val="24"/>
          <w:szCs w:val="24"/>
          <w:lang w:val="en-US"/>
        </w:rPr>
        <w:t>Giovanni Boccaccio.</w:t>
      </w:r>
      <w:r w:rsidRPr="00364BB7">
        <w:rPr>
          <w:rFonts w:ascii="Arial" w:hAnsi="Arial" w:cs="Arial"/>
          <w:sz w:val="24"/>
          <w:szCs w:val="24"/>
          <w:lang w:val="en-US"/>
        </w:rPr>
        <w:t xml:space="preserve"> </w:t>
      </w:r>
      <w:r w:rsidRPr="007756C8">
        <w:rPr>
          <w:rFonts w:ascii="Arial" w:hAnsi="Arial" w:cs="Arial"/>
          <w:i/>
          <w:sz w:val="24"/>
          <w:szCs w:val="24"/>
          <w:lang w:val="en-US"/>
        </w:rPr>
        <w:t>The Decameron</w:t>
      </w:r>
      <w:r w:rsidRPr="00364BB7">
        <w:rPr>
          <w:rFonts w:ascii="Arial" w:hAnsi="Arial" w:cs="Arial"/>
          <w:sz w:val="24"/>
          <w:szCs w:val="24"/>
          <w:lang w:val="en-US"/>
        </w:rPr>
        <w:t xml:space="preserve"> </w:t>
      </w:r>
      <w:r w:rsidR="00FE30D8">
        <w:rPr>
          <w:rFonts w:ascii="Arial" w:hAnsi="Arial" w:cs="Arial"/>
          <w:sz w:val="24"/>
          <w:szCs w:val="24"/>
          <w:lang w:val="en-US"/>
        </w:rPr>
        <w:t xml:space="preserve">(1353) </w:t>
      </w:r>
      <w:r w:rsidR="002A1D60">
        <w:rPr>
          <w:rFonts w:ascii="Arial" w:hAnsi="Arial" w:cs="Arial"/>
          <w:sz w:val="24"/>
          <w:szCs w:val="24"/>
          <w:lang w:val="en-US"/>
        </w:rPr>
        <w:t>[</w:t>
      </w:r>
      <w:r w:rsidR="002A1D60" w:rsidRPr="00364BB7">
        <w:rPr>
          <w:rFonts w:ascii="Arial" w:hAnsi="Arial" w:cs="Arial"/>
          <w:sz w:val="24"/>
          <w:szCs w:val="24"/>
          <w:lang w:val="en-US"/>
        </w:rPr>
        <w:t>extracts</w:t>
      </w:r>
      <w:r w:rsidR="002A1D60">
        <w:rPr>
          <w:rFonts w:ascii="Arial" w:hAnsi="Arial" w:cs="Arial"/>
          <w:sz w:val="24"/>
          <w:szCs w:val="24"/>
          <w:lang w:val="en-US"/>
        </w:rPr>
        <w:t>].</w:t>
      </w:r>
    </w:p>
    <w:p w14:paraId="0B3D43BA" w14:textId="01D03029" w:rsidR="00EE71CC" w:rsidRPr="00EE71CC" w:rsidRDefault="00EE71CC" w:rsidP="00591599">
      <w:pPr>
        <w:spacing w:after="0" w:line="240" w:lineRule="auto"/>
        <w:ind w:left="720" w:right="543"/>
        <w:jc w:val="both"/>
        <w:rPr>
          <w:rFonts w:ascii="Arial" w:hAnsi="Arial" w:cs="Arial"/>
          <w:sz w:val="24"/>
          <w:szCs w:val="24"/>
          <w:lang w:val="en-US"/>
        </w:rPr>
      </w:pPr>
      <w:r>
        <w:rPr>
          <w:rFonts w:ascii="Arial" w:hAnsi="Arial" w:cs="Arial"/>
          <w:sz w:val="24"/>
          <w:szCs w:val="24"/>
          <w:lang w:val="en-US"/>
        </w:rPr>
        <w:t>William Shakespeare.</w:t>
      </w:r>
      <w:r w:rsidRPr="00364BB7">
        <w:rPr>
          <w:rFonts w:ascii="Arial" w:hAnsi="Arial" w:cs="Arial"/>
          <w:sz w:val="24"/>
          <w:szCs w:val="24"/>
          <w:lang w:val="en-US"/>
        </w:rPr>
        <w:t xml:space="preserve"> </w:t>
      </w:r>
      <w:r w:rsidRPr="007756C8">
        <w:rPr>
          <w:rFonts w:ascii="Arial" w:hAnsi="Arial" w:cs="Arial"/>
          <w:i/>
          <w:sz w:val="24"/>
          <w:szCs w:val="24"/>
          <w:lang w:val="en-US"/>
        </w:rPr>
        <w:t>Macbeth</w:t>
      </w:r>
      <w:r>
        <w:rPr>
          <w:rFonts w:ascii="Arial" w:hAnsi="Arial" w:cs="Arial"/>
          <w:i/>
          <w:sz w:val="24"/>
          <w:szCs w:val="24"/>
          <w:lang w:val="en-US"/>
        </w:rPr>
        <w:t xml:space="preserve"> </w:t>
      </w:r>
      <w:r>
        <w:rPr>
          <w:rFonts w:ascii="Arial" w:hAnsi="Arial" w:cs="Arial"/>
          <w:sz w:val="24"/>
          <w:szCs w:val="24"/>
          <w:lang w:val="en-US"/>
        </w:rPr>
        <w:t>(</w:t>
      </w:r>
      <w:r w:rsidR="002A1D60">
        <w:rPr>
          <w:rFonts w:ascii="Arial" w:hAnsi="Arial" w:cs="Arial"/>
          <w:sz w:val="24"/>
          <w:szCs w:val="24"/>
          <w:lang w:val="en-US"/>
        </w:rPr>
        <w:t>1606</w:t>
      </w:r>
      <w:r>
        <w:rPr>
          <w:rFonts w:ascii="Arial" w:hAnsi="Arial" w:cs="Arial"/>
          <w:sz w:val="24"/>
          <w:szCs w:val="24"/>
          <w:lang w:val="en-US"/>
        </w:rPr>
        <w:t>)</w:t>
      </w:r>
      <w:r w:rsidR="00FE30D8">
        <w:rPr>
          <w:rFonts w:ascii="Arial" w:hAnsi="Arial" w:cs="Arial"/>
          <w:sz w:val="24"/>
          <w:szCs w:val="24"/>
          <w:lang w:val="en-US"/>
        </w:rPr>
        <w:t>.</w:t>
      </w:r>
    </w:p>
    <w:p w14:paraId="485BDEE2" w14:textId="52FF7B66" w:rsidR="00EE71CC" w:rsidRPr="00EE71CC" w:rsidRDefault="00EE71CC" w:rsidP="00591599">
      <w:pPr>
        <w:spacing w:after="0" w:line="240" w:lineRule="auto"/>
        <w:ind w:left="720" w:right="543"/>
        <w:jc w:val="both"/>
        <w:rPr>
          <w:rFonts w:ascii="Arial" w:hAnsi="Arial" w:cs="Arial"/>
          <w:sz w:val="24"/>
          <w:szCs w:val="24"/>
          <w:lang w:val="en-US"/>
        </w:rPr>
      </w:pPr>
      <w:r>
        <w:rPr>
          <w:rFonts w:ascii="Arial" w:hAnsi="Arial" w:cs="Arial"/>
          <w:sz w:val="24"/>
          <w:szCs w:val="24"/>
          <w:lang w:val="en-US"/>
        </w:rPr>
        <w:t xml:space="preserve">Oscar Wilde. </w:t>
      </w:r>
      <w:r>
        <w:rPr>
          <w:rFonts w:ascii="Arial" w:hAnsi="Arial" w:cs="Arial"/>
          <w:i/>
          <w:sz w:val="24"/>
          <w:szCs w:val="24"/>
          <w:lang w:val="en-US"/>
        </w:rPr>
        <w:t xml:space="preserve">The </w:t>
      </w:r>
      <w:proofErr w:type="spellStart"/>
      <w:r>
        <w:rPr>
          <w:rFonts w:ascii="Arial" w:hAnsi="Arial" w:cs="Arial"/>
          <w:i/>
          <w:sz w:val="24"/>
          <w:szCs w:val="24"/>
          <w:lang w:val="en-US"/>
        </w:rPr>
        <w:t>Canterville</w:t>
      </w:r>
      <w:proofErr w:type="spellEnd"/>
      <w:r>
        <w:rPr>
          <w:rFonts w:ascii="Arial" w:hAnsi="Arial" w:cs="Arial"/>
          <w:i/>
          <w:sz w:val="24"/>
          <w:szCs w:val="24"/>
          <w:lang w:val="en-US"/>
        </w:rPr>
        <w:t xml:space="preserve"> Ghost </w:t>
      </w:r>
      <w:r w:rsidR="002A1D60">
        <w:rPr>
          <w:rFonts w:ascii="Arial" w:hAnsi="Arial" w:cs="Arial"/>
          <w:sz w:val="24"/>
          <w:szCs w:val="24"/>
          <w:lang w:val="en-US"/>
        </w:rPr>
        <w:t>(1887)</w:t>
      </w:r>
      <w:r w:rsidR="00FE30D8">
        <w:rPr>
          <w:rFonts w:ascii="Arial" w:hAnsi="Arial" w:cs="Arial"/>
          <w:sz w:val="24"/>
          <w:szCs w:val="24"/>
          <w:lang w:val="en-US"/>
        </w:rPr>
        <w:t>.</w:t>
      </w:r>
    </w:p>
    <w:p w14:paraId="07825ECE" w14:textId="31A3F87E" w:rsidR="00EE71CC" w:rsidRPr="009E41C9" w:rsidRDefault="00EE71CC" w:rsidP="00591599">
      <w:pPr>
        <w:spacing w:after="0" w:line="240" w:lineRule="auto"/>
        <w:ind w:left="720" w:right="543"/>
        <w:jc w:val="both"/>
        <w:rPr>
          <w:rFonts w:ascii="Arial" w:hAnsi="Arial" w:cs="Arial"/>
          <w:sz w:val="24"/>
          <w:szCs w:val="24"/>
          <w:lang w:val="es-ES"/>
        </w:rPr>
      </w:pPr>
      <w:r w:rsidRPr="009E41C9">
        <w:rPr>
          <w:rFonts w:ascii="Arial" w:hAnsi="Arial" w:cs="Arial"/>
          <w:sz w:val="24"/>
          <w:szCs w:val="24"/>
          <w:lang w:val="es-ES"/>
        </w:rPr>
        <w:t>Manuel Acuña. ‘</w:t>
      </w:r>
      <w:proofErr w:type="spellStart"/>
      <w:r w:rsidRPr="009E41C9">
        <w:rPr>
          <w:rFonts w:ascii="Arial" w:hAnsi="Arial" w:cs="Arial"/>
          <w:sz w:val="24"/>
          <w:szCs w:val="24"/>
          <w:lang w:val="es-ES"/>
        </w:rPr>
        <w:t>Before</w:t>
      </w:r>
      <w:proofErr w:type="spellEnd"/>
      <w:r w:rsidRPr="009E41C9">
        <w:rPr>
          <w:rFonts w:ascii="Arial" w:hAnsi="Arial" w:cs="Arial"/>
          <w:sz w:val="24"/>
          <w:szCs w:val="24"/>
          <w:lang w:val="es-ES"/>
        </w:rPr>
        <w:t xml:space="preserve"> a </w:t>
      </w:r>
      <w:proofErr w:type="spellStart"/>
      <w:r w:rsidRPr="009E41C9">
        <w:rPr>
          <w:rFonts w:ascii="Arial" w:hAnsi="Arial" w:cs="Arial"/>
          <w:sz w:val="24"/>
          <w:szCs w:val="24"/>
          <w:lang w:val="es-ES"/>
        </w:rPr>
        <w:t>Corpse</w:t>
      </w:r>
      <w:proofErr w:type="spellEnd"/>
      <w:r w:rsidRPr="009E41C9">
        <w:rPr>
          <w:rFonts w:ascii="Arial" w:hAnsi="Arial" w:cs="Arial"/>
          <w:sz w:val="24"/>
          <w:szCs w:val="24"/>
          <w:lang w:val="es-ES"/>
        </w:rPr>
        <w:t>’</w:t>
      </w:r>
      <w:r w:rsidR="002A1D60" w:rsidRPr="009E41C9">
        <w:rPr>
          <w:rFonts w:ascii="Arial" w:hAnsi="Arial" w:cs="Arial"/>
          <w:sz w:val="24"/>
          <w:szCs w:val="24"/>
          <w:lang w:val="es-ES"/>
        </w:rPr>
        <w:t xml:space="preserve"> (1887)</w:t>
      </w:r>
      <w:r w:rsidR="00FE30D8">
        <w:rPr>
          <w:rFonts w:ascii="Arial" w:hAnsi="Arial" w:cs="Arial"/>
          <w:sz w:val="24"/>
          <w:szCs w:val="24"/>
          <w:lang w:val="es-ES"/>
        </w:rPr>
        <w:t>.</w:t>
      </w:r>
      <w:r w:rsidR="002A1D60" w:rsidRPr="009E41C9">
        <w:rPr>
          <w:rFonts w:ascii="Arial" w:hAnsi="Arial" w:cs="Arial"/>
          <w:sz w:val="24"/>
          <w:szCs w:val="24"/>
          <w:lang w:val="es-ES"/>
        </w:rPr>
        <w:t xml:space="preserve"> </w:t>
      </w:r>
      <w:r w:rsidRPr="009E41C9">
        <w:rPr>
          <w:rFonts w:ascii="Arial" w:hAnsi="Arial" w:cs="Arial"/>
          <w:sz w:val="24"/>
          <w:szCs w:val="24"/>
          <w:lang w:val="es-ES"/>
        </w:rPr>
        <w:t xml:space="preserve"> </w:t>
      </w:r>
    </w:p>
    <w:p w14:paraId="2F7BC6C6" w14:textId="7C9EE0C0" w:rsidR="00EE71CC" w:rsidRPr="00EE71CC" w:rsidRDefault="00EE71CC" w:rsidP="00591599">
      <w:pPr>
        <w:spacing w:after="0" w:line="240" w:lineRule="auto"/>
        <w:ind w:left="720" w:right="543"/>
        <w:jc w:val="both"/>
        <w:rPr>
          <w:rFonts w:ascii="Arial" w:hAnsi="Arial" w:cs="Arial"/>
          <w:sz w:val="24"/>
          <w:szCs w:val="24"/>
          <w:lang w:val="es-ES"/>
        </w:rPr>
      </w:pPr>
      <w:r w:rsidRPr="00EE71CC">
        <w:rPr>
          <w:rFonts w:ascii="Arial" w:hAnsi="Arial" w:cs="Arial"/>
          <w:sz w:val="24"/>
          <w:szCs w:val="24"/>
          <w:lang w:val="es-ES"/>
        </w:rPr>
        <w:t xml:space="preserve">Juan Rulfo. </w:t>
      </w:r>
      <w:r w:rsidR="002A1D60">
        <w:rPr>
          <w:rFonts w:ascii="Arial" w:hAnsi="Arial" w:cs="Arial"/>
          <w:i/>
          <w:sz w:val="24"/>
          <w:szCs w:val="24"/>
          <w:lang w:val="es-ES"/>
        </w:rPr>
        <w:t>Pedro Pa</w:t>
      </w:r>
      <w:r w:rsidRPr="00EE71CC">
        <w:rPr>
          <w:rFonts w:ascii="Arial" w:hAnsi="Arial" w:cs="Arial"/>
          <w:i/>
          <w:sz w:val="24"/>
          <w:szCs w:val="24"/>
          <w:lang w:val="es-ES"/>
        </w:rPr>
        <w:t>ramo</w:t>
      </w:r>
      <w:r w:rsidR="002A1D60">
        <w:rPr>
          <w:rFonts w:ascii="Arial" w:hAnsi="Arial" w:cs="Arial"/>
          <w:i/>
          <w:sz w:val="24"/>
          <w:szCs w:val="24"/>
          <w:lang w:val="es-ES"/>
        </w:rPr>
        <w:t xml:space="preserve"> </w:t>
      </w:r>
      <w:r w:rsidR="002A1D60" w:rsidRPr="00EE71CC">
        <w:rPr>
          <w:rFonts w:ascii="Arial" w:hAnsi="Arial" w:cs="Arial"/>
          <w:sz w:val="24"/>
          <w:szCs w:val="24"/>
          <w:lang w:val="es-ES"/>
        </w:rPr>
        <w:t>(1955)</w:t>
      </w:r>
      <w:r w:rsidR="00FE30D8">
        <w:rPr>
          <w:rFonts w:ascii="Arial" w:hAnsi="Arial" w:cs="Arial"/>
          <w:sz w:val="24"/>
          <w:szCs w:val="24"/>
          <w:lang w:val="es-ES"/>
        </w:rPr>
        <w:t>.</w:t>
      </w:r>
    </w:p>
    <w:p w14:paraId="3A856DC6" w14:textId="14D227E8" w:rsidR="00EE71CC" w:rsidRPr="00126E5A" w:rsidRDefault="009E41C9" w:rsidP="00591599">
      <w:pPr>
        <w:spacing w:after="0" w:line="240" w:lineRule="auto"/>
        <w:ind w:left="720" w:right="543"/>
        <w:jc w:val="both"/>
        <w:rPr>
          <w:rFonts w:ascii="Arial" w:hAnsi="Arial" w:cs="Arial"/>
          <w:sz w:val="24"/>
          <w:szCs w:val="24"/>
          <w:lang w:val="es-ES"/>
        </w:rPr>
      </w:pPr>
      <w:r w:rsidRPr="00126E5A">
        <w:rPr>
          <w:rFonts w:ascii="Arial" w:hAnsi="Arial" w:cs="Arial"/>
          <w:sz w:val="24"/>
          <w:szCs w:val="24"/>
          <w:lang w:val="es-ES"/>
        </w:rPr>
        <w:t>Carlos Fuentes.</w:t>
      </w:r>
      <w:r w:rsidR="00EE71CC" w:rsidRPr="00126E5A">
        <w:rPr>
          <w:rFonts w:ascii="Arial" w:hAnsi="Arial" w:cs="Arial"/>
          <w:sz w:val="24"/>
          <w:szCs w:val="24"/>
          <w:lang w:val="es-ES"/>
        </w:rPr>
        <w:t xml:space="preserve"> </w:t>
      </w:r>
      <w:r w:rsidR="00EE71CC" w:rsidRPr="00126E5A">
        <w:rPr>
          <w:rFonts w:ascii="Arial" w:hAnsi="Arial" w:cs="Arial"/>
          <w:i/>
          <w:sz w:val="24"/>
          <w:szCs w:val="24"/>
          <w:lang w:val="es-ES"/>
        </w:rPr>
        <w:t>Aura</w:t>
      </w:r>
      <w:r w:rsidR="002A1D60" w:rsidRPr="00126E5A">
        <w:rPr>
          <w:rFonts w:ascii="Arial" w:hAnsi="Arial" w:cs="Arial"/>
          <w:i/>
          <w:sz w:val="24"/>
          <w:szCs w:val="24"/>
          <w:lang w:val="es-ES"/>
        </w:rPr>
        <w:t xml:space="preserve"> </w:t>
      </w:r>
      <w:r w:rsidR="002A1D60" w:rsidRPr="00126E5A">
        <w:rPr>
          <w:rFonts w:ascii="Arial" w:hAnsi="Arial" w:cs="Arial"/>
          <w:sz w:val="24"/>
          <w:szCs w:val="24"/>
          <w:lang w:val="es-ES"/>
        </w:rPr>
        <w:t>(1962)</w:t>
      </w:r>
      <w:r w:rsidR="00FE30D8" w:rsidRPr="00126E5A">
        <w:rPr>
          <w:rFonts w:ascii="Arial" w:hAnsi="Arial" w:cs="Arial"/>
          <w:sz w:val="24"/>
          <w:szCs w:val="24"/>
          <w:lang w:val="es-ES"/>
        </w:rPr>
        <w:t>.</w:t>
      </w:r>
    </w:p>
    <w:p w14:paraId="2BD12896" w14:textId="6D73BCB7" w:rsidR="00EE71CC" w:rsidRPr="00126E5A" w:rsidRDefault="00EE71CC" w:rsidP="00591599">
      <w:pPr>
        <w:spacing w:after="0" w:line="240" w:lineRule="auto"/>
        <w:ind w:left="720" w:right="543"/>
        <w:jc w:val="both"/>
        <w:rPr>
          <w:rFonts w:ascii="Arial" w:hAnsi="Arial" w:cs="Arial"/>
          <w:sz w:val="24"/>
          <w:szCs w:val="24"/>
          <w:lang w:val="es-ES"/>
        </w:rPr>
      </w:pPr>
      <w:r w:rsidRPr="00126E5A">
        <w:rPr>
          <w:rFonts w:ascii="Arial" w:hAnsi="Arial" w:cs="Arial"/>
          <w:sz w:val="24"/>
          <w:szCs w:val="24"/>
          <w:lang w:val="es-ES"/>
        </w:rPr>
        <w:t>Guillermo del Toro (</w:t>
      </w:r>
      <w:proofErr w:type="spellStart"/>
      <w:r w:rsidRPr="00126E5A">
        <w:rPr>
          <w:rFonts w:ascii="Arial" w:hAnsi="Arial" w:cs="Arial"/>
          <w:sz w:val="24"/>
          <w:szCs w:val="24"/>
          <w:lang w:val="es-ES"/>
        </w:rPr>
        <w:t>dir.</w:t>
      </w:r>
      <w:proofErr w:type="spellEnd"/>
      <w:r w:rsidRPr="00126E5A">
        <w:rPr>
          <w:rFonts w:ascii="Arial" w:hAnsi="Arial" w:cs="Arial"/>
          <w:sz w:val="24"/>
          <w:szCs w:val="24"/>
          <w:lang w:val="es-ES"/>
        </w:rPr>
        <w:t>)</w:t>
      </w:r>
      <w:r w:rsidR="009E41C9" w:rsidRPr="00126E5A">
        <w:rPr>
          <w:rFonts w:ascii="Arial" w:hAnsi="Arial" w:cs="Arial"/>
          <w:sz w:val="24"/>
          <w:szCs w:val="24"/>
          <w:lang w:val="es-ES"/>
        </w:rPr>
        <w:t>.</w:t>
      </w:r>
      <w:r w:rsidRPr="00126E5A">
        <w:rPr>
          <w:rFonts w:ascii="Arial" w:hAnsi="Arial" w:cs="Arial"/>
          <w:sz w:val="24"/>
          <w:szCs w:val="24"/>
          <w:lang w:val="es-ES"/>
        </w:rPr>
        <w:t xml:space="preserve"> </w:t>
      </w:r>
      <w:proofErr w:type="spellStart"/>
      <w:r w:rsidRPr="00126E5A">
        <w:rPr>
          <w:rFonts w:ascii="Arial" w:hAnsi="Arial" w:cs="Arial"/>
          <w:i/>
          <w:sz w:val="24"/>
          <w:szCs w:val="24"/>
          <w:lang w:val="es-ES"/>
        </w:rPr>
        <w:t>The</w:t>
      </w:r>
      <w:proofErr w:type="spellEnd"/>
      <w:r w:rsidRPr="00126E5A">
        <w:rPr>
          <w:rFonts w:ascii="Arial" w:hAnsi="Arial" w:cs="Arial"/>
          <w:i/>
          <w:sz w:val="24"/>
          <w:szCs w:val="24"/>
          <w:lang w:val="es-ES"/>
        </w:rPr>
        <w:t xml:space="preserve"> </w:t>
      </w:r>
      <w:proofErr w:type="spellStart"/>
      <w:r w:rsidRPr="00126E5A">
        <w:rPr>
          <w:rFonts w:ascii="Arial" w:hAnsi="Arial" w:cs="Arial"/>
          <w:i/>
          <w:sz w:val="24"/>
          <w:szCs w:val="24"/>
          <w:lang w:val="es-ES"/>
        </w:rPr>
        <w:t>Devil’s</w:t>
      </w:r>
      <w:proofErr w:type="spellEnd"/>
      <w:r w:rsidRPr="00126E5A">
        <w:rPr>
          <w:rFonts w:ascii="Arial" w:hAnsi="Arial" w:cs="Arial"/>
          <w:i/>
          <w:sz w:val="24"/>
          <w:szCs w:val="24"/>
          <w:lang w:val="es-ES"/>
        </w:rPr>
        <w:t xml:space="preserve"> </w:t>
      </w:r>
      <w:proofErr w:type="spellStart"/>
      <w:r w:rsidRPr="00126E5A">
        <w:rPr>
          <w:rFonts w:ascii="Arial" w:hAnsi="Arial" w:cs="Arial"/>
          <w:i/>
          <w:sz w:val="24"/>
          <w:szCs w:val="24"/>
          <w:lang w:val="es-ES"/>
        </w:rPr>
        <w:t>Backbone</w:t>
      </w:r>
      <w:proofErr w:type="spellEnd"/>
      <w:r w:rsidR="002A1D60" w:rsidRPr="00126E5A">
        <w:rPr>
          <w:rFonts w:ascii="Arial" w:hAnsi="Arial" w:cs="Arial"/>
          <w:i/>
          <w:sz w:val="24"/>
          <w:szCs w:val="24"/>
          <w:lang w:val="es-ES"/>
        </w:rPr>
        <w:t xml:space="preserve"> </w:t>
      </w:r>
      <w:r w:rsidR="002A1D60" w:rsidRPr="00126E5A">
        <w:rPr>
          <w:rFonts w:ascii="Arial" w:hAnsi="Arial" w:cs="Arial"/>
          <w:sz w:val="24"/>
          <w:szCs w:val="24"/>
          <w:lang w:val="es-ES"/>
        </w:rPr>
        <w:t>(2001)</w:t>
      </w:r>
      <w:r w:rsidR="00FE30D8" w:rsidRPr="00126E5A">
        <w:rPr>
          <w:rFonts w:ascii="Arial" w:hAnsi="Arial" w:cs="Arial"/>
          <w:sz w:val="24"/>
          <w:szCs w:val="24"/>
          <w:lang w:val="es-ES"/>
        </w:rPr>
        <w:t>.</w:t>
      </w:r>
    </w:p>
    <w:p w14:paraId="120ECC4D" w14:textId="77B1A0E0" w:rsidR="00EE71CC" w:rsidRDefault="009E41C9" w:rsidP="00591599">
      <w:pPr>
        <w:spacing w:after="0" w:line="240" w:lineRule="auto"/>
        <w:ind w:left="720" w:right="543"/>
        <w:jc w:val="both"/>
        <w:rPr>
          <w:rFonts w:ascii="Arial" w:hAnsi="Arial" w:cs="Arial"/>
          <w:sz w:val="24"/>
          <w:szCs w:val="24"/>
          <w:lang w:val="en-US"/>
        </w:rPr>
      </w:pPr>
      <w:r>
        <w:rPr>
          <w:rFonts w:ascii="Arial" w:hAnsi="Arial" w:cs="Arial"/>
          <w:sz w:val="24"/>
          <w:szCs w:val="24"/>
          <w:lang w:val="en-US"/>
        </w:rPr>
        <w:t xml:space="preserve">Mariana </w:t>
      </w:r>
      <w:proofErr w:type="spellStart"/>
      <w:r>
        <w:rPr>
          <w:rFonts w:ascii="Arial" w:hAnsi="Arial" w:cs="Arial"/>
          <w:sz w:val="24"/>
          <w:szCs w:val="24"/>
          <w:lang w:val="en-US"/>
        </w:rPr>
        <w:t>Enríquez</w:t>
      </w:r>
      <w:proofErr w:type="spellEnd"/>
      <w:r>
        <w:rPr>
          <w:rFonts w:ascii="Arial" w:hAnsi="Arial" w:cs="Arial"/>
          <w:sz w:val="24"/>
          <w:szCs w:val="24"/>
          <w:lang w:val="en-US"/>
        </w:rPr>
        <w:t>.</w:t>
      </w:r>
      <w:r w:rsidR="00EE71CC" w:rsidRPr="002A1D60">
        <w:rPr>
          <w:rFonts w:ascii="Arial" w:hAnsi="Arial" w:cs="Arial"/>
          <w:sz w:val="24"/>
          <w:szCs w:val="24"/>
          <w:lang w:val="en-US"/>
        </w:rPr>
        <w:t xml:space="preserve"> ‘B</w:t>
      </w:r>
      <w:r w:rsidR="00EE71CC" w:rsidRPr="00EE71CC">
        <w:rPr>
          <w:rFonts w:ascii="Arial" w:hAnsi="Arial" w:cs="Arial"/>
          <w:sz w:val="24"/>
          <w:szCs w:val="24"/>
          <w:lang w:val="en-US"/>
        </w:rPr>
        <w:t>ack When We T</w:t>
      </w:r>
      <w:r w:rsidR="00EE71CC" w:rsidRPr="00364BB7">
        <w:rPr>
          <w:rFonts w:ascii="Arial" w:hAnsi="Arial" w:cs="Arial"/>
          <w:sz w:val="24"/>
          <w:szCs w:val="24"/>
          <w:lang w:val="en-US"/>
        </w:rPr>
        <w:t>alked to the Dead’</w:t>
      </w:r>
      <w:r w:rsidR="002A1D60">
        <w:rPr>
          <w:rFonts w:ascii="Arial" w:hAnsi="Arial" w:cs="Arial"/>
          <w:sz w:val="24"/>
          <w:szCs w:val="24"/>
          <w:lang w:val="en-US"/>
        </w:rPr>
        <w:t xml:space="preserve"> (2017)</w:t>
      </w:r>
      <w:r w:rsidR="00FE30D8">
        <w:rPr>
          <w:rFonts w:ascii="Arial" w:hAnsi="Arial" w:cs="Arial"/>
          <w:sz w:val="24"/>
          <w:szCs w:val="24"/>
          <w:lang w:val="en-US"/>
        </w:rPr>
        <w:t>.</w:t>
      </w:r>
    </w:p>
    <w:p w14:paraId="0D68FB43" w14:textId="77777777" w:rsidR="00EE71CC" w:rsidRPr="00EE71CC" w:rsidRDefault="00EE71CC" w:rsidP="00EE71CC">
      <w:pPr>
        <w:rPr>
          <w:lang w:val="en-US"/>
        </w:rPr>
      </w:pPr>
    </w:p>
    <w:p w14:paraId="65C929EC" w14:textId="46557AE0" w:rsidR="008D4447" w:rsidRPr="008D4447" w:rsidRDefault="00636058" w:rsidP="009D52D0">
      <w:pPr>
        <w:spacing w:after="120" w:line="240" w:lineRule="auto"/>
        <w:ind w:right="543"/>
        <w:jc w:val="both"/>
        <w:rPr>
          <w:rFonts w:ascii="Arial" w:hAnsi="Arial" w:cs="Arial"/>
          <w:b/>
          <w:sz w:val="24"/>
          <w:szCs w:val="24"/>
        </w:rPr>
      </w:pPr>
      <w:r w:rsidRPr="00636058">
        <w:rPr>
          <w:rFonts w:ascii="Arial" w:hAnsi="Arial" w:cs="Arial"/>
          <w:sz w:val="24"/>
          <w:szCs w:val="24"/>
        </w:rPr>
        <w:t xml:space="preserve"> </w:t>
      </w:r>
    </w:p>
    <w:p w14:paraId="715A2291" w14:textId="15D7BD54" w:rsidR="00883204" w:rsidRDefault="00636058" w:rsidP="00072357">
      <w:pPr>
        <w:pStyle w:val="Heading2"/>
      </w:pPr>
      <w:r>
        <w:t>Contact Hours</w:t>
      </w:r>
    </w:p>
    <w:p w14:paraId="1086FCCF" w14:textId="6ED62AE9" w:rsidR="00636058" w:rsidRPr="00636058" w:rsidRDefault="00636058" w:rsidP="00591599">
      <w:pPr>
        <w:ind w:left="567" w:firstLine="153"/>
        <w:rPr>
          <w:rFonts w:ascii="Arial" w:hAnsi="Arial" w:cs="Arial"/>
          <w:sz w:val="24"/>
          <w:szCs w:val="24"/>
        </w:rPr>
      </w:pPr>
      <w:r w:rsidRPr="00636058">
        <w:rPr>
          <w:rFonts w:ascii="Arial" w:hAnsi="Arial" w:cs="Arial"/>
          <w:sz w:val="24"/>
          <w:szCs w:val="24"/>
        </w:rPr>
        <w:t>Private Study</w:t>
      </w:r>
      <w:r w:rsidR="007A3F31">
        <w:rPr>
          <w:rFonts w:ascii="Arial" w:hAnsi="Arial" w:cs="Arial"/>
          <w:sz w:val="24"/>
          <w:szCs w:val="24"/>
        </w:rPr>
        <w:t>:</w:t>
      </w:r>
      <w:r w:rsidR="00EE71CC">
        <w:rPr>
          <w:rFonts w:ascii="Arial" w:hAnsi="Arial" w:cs="Arial"/>
          <w:sz w:val="24"/>
          <w:szCs w:val="24"/>
        </w:rPr>
        <w:t xml:space="preserve"> 130</w:t>
      </w:r>
    </w:p>
    <w:p w14:paraId="3BE5E6D9" w14:textId="490DD783" w:rsidR="00636058" w:rsidRPr="00636058" w:rsidRDefault="00636058" w:rsidP="00591599">
      <w:pPr>
        <w:ind w:left="567" w:firstLine="153"/>
        <w:rPr>
          <w:rFonts w:ascii="Arial" w:hAnsi="Arial" w:cs="Arial"/>
          <w:sz w:val="24"/>
          <w:szCs w:val="24"/>
        </w:rPr>
      </w:pPr>
      <w:r w:rsidRPr="00636058">
        <w:rPr>
          <w:rFonts w:ascii="Arial" w:hAnsi="Arial" w:cs="Arial"/>
          <w:sz w:val="24"/>
          <w:szCs w:val="24"/>
        </w:rPr>
        <w:t>Contact Hours</w:t>
      </w:r>
      <w:r w:rsidR="007A3F31">
        <w:rPr>
          <w:rFonts w:ascii="Arial" w:hAnsi="Arial" w:cs="Arial"/>
          <w:sz w:val="24"/>
          <w:szCs w:val="24"/>
        </w:rPr>
        <w:t>:</w:t>
      </w:r>
      <w:r w:rsidR="00EE71CC">
        <w:rPr>
          <w:rFonts w:ascii="Arial" w:hAnsi="Arial" w:cs="Arial"/>
          <w:sz w:val="24"/>
          <w:szCs w:val="24"/>
        </w:rPr>
        <w:t xml:space="preserve"> 20</w:t>
      </w:r>
    </w:p>
    <w:p w14:paraId="260000FF" w14:textId="57E19AAA" w:rsidR="00636058" w:rsidRPr="00636058" w:rsidRDefault="00636058" w:rsidP="00591599">
      <w:pPr>
        <w:ind w:left="567" w:firstLine="153"/>
        <w:rPr>
          <w:rFonts w:ascii="Arial" w:hAnsi="Arial" w:cs="Arial"/>
          <w:sz w:val="24"/>
          <w:szCs w:val="24"/>
        </w:rPr>
      </w:pPr>
      <w:r w:rsidRPr="00636058">
        <w:rPr>
          <w:rFonts w:ascii="Arial" w:hAnsi="Arial" w:cs="Arial"/>
          <w:sz w:val="24"/>
          <w:szCs w:val="24"/>
        </w:rPr>
        <w:t>Total</w:t>
      </w:r>
      <w:r w:rsidR="007A3F31">
        <w:rPr>
          <w:rFonts w:ascii="Arial" w:hAnsi="Arial" w:cs="Arial"/>
          <w:sz w:val="24"/>
          <w:szCs w:val="24"/>
        </w:rPr>
        <w:t>:</w:t>
      </w:r>
      <w:r w:rsidR="00EE71CC">
        <w:rPr>
          <w:rFonts w:ascii="Arial" w:hAnsi="Arial" w:cs="Arial"/>
          <w:sz w:val="24"/>
          <w:szCs w:val="24"/>
        </w:rPr>
        <w:t xml:space="preserve"> 150</w:t>
      </w:r>
    </w:p>
    <w:p w14:paraId="035B9AB3" w14:textId="77777777" w:rsidR="008D4447" w:rsidRPr="008D4447" w:rsidRDefault="008D4447" w:rsidP="00636058">
      <w:pPr>
        <w:spacing w:after="120" w:line="240" w:lineRule="auto"/>
        <w:ind w:right="543"/>
        <w:rPr>
          <w:rFonts w:ascii="Arial" w:hAnsi="Arial" w:cs="Arial"/>
          <w:iCs/>
          <w:sz w:val="24"/>
          <w:szCs w:val="24"/>
        </w:rPr>
      </w:pPr>
    </w:p>
    <w:p w14:paraId="1C49B47B" w14:textId="77777777" w:rsidR="00B2615D" w:rsidRPr="00B2615D" w:rsidRDefault="00EF4933" w:rsidP="00072357">
      <w:pPr>
        <w:pStyle w:val="Heading2"/>
        <w:rPr>
          <w:i/>
          <w:iCs/>
        </w:rPr>
      </w:pPr>
      <w:r w:rsidRPr="009D52D0">
        <w:t>Assessment methods</w:t>
      </w:r>
    </w:p>
    <w:p w14:paraId="7F14E902" w14:textId="11945E98" w:rsidR="00696FF5" w:rsidRPr="00B2615D" w:rsidRDefault="00A86D74" w:rsidP="00A86D74">
      <w:pPr>
        <w:pStyle w:val="header2"/>
        <w:numPr>
          <w:ilvl w:val="0"/>
          <w:numId w:val="0"/>
        </w:numPr>
        <w:ind w:left="360"/>
        <w:rPr>
          <w:b w:val="0"/>
          <w:bCs/>
          <w:i/>
          <w:iCs/>
        </w:rPr>
      </w:pPr>
      <w:r>
        <w:rPr>
          <w:b w:val="0"/>
          <w:bCs/>
          <w:iCs/>
        </w:rPr>
        <w:t xml:space="preserve">13.1 </w:t>
      </w:r>
      <w:r w:rsidR="00696FF5" w:rsidRPr="00B2615D">
        <w:rPr>
          <w:b w:val="0"/>
          <w:bCs/>
          <w:iCs/>
        </w:rPr>
        <w:t>Main assessment methods</w:t>
      </w:r>
    </w:p>
    <w:p w14:paraId="0ECE34BD" w14:textId="6675A1A4" w:rsidR="002A1D60" w:rsidRPr="002A1D60" w:rsidRDefault="00D85234" w:rsidP="00A86D74">
      <w:pPr>
        <w:spacing w:after="120" w:line="240" w:lineRule="auto"/>
        <w:ind w:left="786" w:right="543"/>
        <w:rPr>
          <w:rFonts w:ascii="Arial" w:hAnsi="Arial" w:cs="Arial"/>
          <w:iCs/>
          <w:sz w:val="24"/>
          <w:szCs w:val="24"/>
        </w:rPr>
      </w:pPr>
      <w:r>
        <w:rPr>
          <w:rFonts w:ascii="Arial" w:hAnsi="Arial" w:cs="Arial"/>
          <w:iCs/>
          <w:sz w:val="24"/>
          <w:szCs w:val="24"/>
        </w:rPr>
        <w:t>•</w:t>
      </w:r>
      <w:r>
        <w:rPr>
          <w:rFonts w:ascii="Arial" w:hAnsi="Arial" w:cs="Arial"/>
          <w:iCs/>
          <w:sz w:val="24"/>
          <w:szCs w:val="24"/>
        </w:rPr>
        <w:tab/>
        <w:t>Essay 1 (1,5</w:t>
      </w:r>
      <w:r w:rsidR="002A1D60" w:rsidRPr="002A1D60">
        <w:rPr>
          <w:rFonts w:ascii="Arial" w:hAnsi="Arial" w:cs="Arial"/>
          <w:iCs/>
          <w:sz w:val="24"/>
          <w:szCs w:val="24"/>
        </w:rPr>
        <w:t>00 words)</w:t>
      </w:r>
      <w:r>
        <w:rPr>
          <w:rFonts w:ascii="Arial" w:hAnsi="Arial" w:cs="Arial"/>
          <w:iCs/>
          <w:sz w:val="24"/>
          <w:szCs w:val="24"/>
        </w:rPr>
        <w:t xml:space="preserve"> 50%</w:t>
      </w:r>
    </w:p>
    <w:p w14:paraId="603BE617" w14:textId="5C967790" w:rsidR="003F3578" w:rsidRDefault="00D85234" w:rsidP="00A86D74">
      <w:pPr>
        <w:spacing w:after="120" w:line="240" w:lineRule="auto"/>
        <w:ind w:left="786" w:right="543"/>
        <w:rPr>
          <w:rFonts w:ascii="Arial" w:hAnsi="Arial" w:cs="Arial"/>
          <w:iCs/>
          <w:sz w:val="24"/>
          <w:szCs w:val="24"/>
        </w:rPr>
      </w:pPr>
      <w:r>
        <w:rPr>
          <w:rFonts w:ascii="Arial" w:hAnsi="Arial" w:cs="Arial"/>
          <w:iCs/>
          <w:sz w:val="24"/>
          <w:szCs w:val="24"/>
        </w:rPr>
        <w:t>•</w:t>
      </w:r>
      <w:r>
        <w:rPr>
          <w:rFonts w:ascii="Arial" w:hAnsi="Arial" w:cs="Arial"/>
          <w:iCs/>
          <w:sz w:val="24"/>
          <w:szCs w:val="24"/>
        </w:rPr>
        <w:tab/>
        <w:t>Essay 2 (1</w:t>
      </w:r>
      <w:r w:rsidR="002A1D60" w:rsidRPr="002A1D60">
        <w:rPr>
          <w:rFonts w:ascii="Arial" w:hAnsi="Arial" w:cs="Arial"/>
          <w:iCs/>
          <w:sz w:val="24"/>
          <w:szCs w:val="24"/>
        </w:rPr>
        <w:t>,500 words)</w:t>
      </w:r>
      <w:r>
        <w:rPr>
          <w:rFonts w:ascii="Arial" w:hAnsi="Arial" w:cs="Arial"/>
          <w:iCs/>
          <w:sz w:val="24"/>
          <w:szCs w:val="24"/>
        </w:rPr>
        <w:t xml:space="preserve"> 50%</w:t>
      </w:r>
    </w:p>
    <w:p w14:paraId="74F6DDA3" w14:textId="77777777" w:rsidR="008D4447" w:rsidRPr="008D4447" w:rsidRDefault="008D4447" w:rsidP="00A86D74">
      <w:pPr>
        <w:spacing w:after="120" w:line="240" w:lineRule="auto"/>
        <w:ind w:left="786" w:right="543"/>
        <w:rPr>
          <w:rFonts w:ascii="Arial" w:hAnsi="Arial" w:cs="Arial"/>
          <w:b/>
          <w:iCs/>
          <w:sz w:val="24"/>
          <w:szCs w:val="24"/>
        </w:rPr>
      </w:pPr>
    </w:p>
    <w:p w14:paraId="3DA1BBE3" w14:textId="4C880BBC" w:rsidR="00696FF5" w:rsidRPr="009D52D0" w:rsidRDefault="00A86D74" w:rsidP="00A86D74">
      <w:pPr>
        <w:spacing w:after="120"/>
        <w:ind w:left="927" w:right="543" w:hanging="567"/>
        <w:rPr>
          <w:rFonts w:ascii="Arial" w:hAnsi="Arial" w:cs="Arial"/>
          <w:iCs/>
          <w:sz w:val="24"/>
          <w:szCs w:val="24"/>
        </w:rPr>
      </w:pPr>
      <w:r>
        <w:rPr>
          <w:rFonts w:ascii="Arial" w:hAnsi="Arial" w:cs="Arial"/>
          <w:iCs/>
          <w:sz w:val="24"/>
          <w:szCs w:val="24"/>
        </w:rPr>
        <w:t>13</w:t>
      </w:r>
      <w:r w:rsidR="00B2615D">
        <w:rPr>
          <w:rFonts w:ascii="Arial" w:hAnsi="Arial" w:cs="Arial"/>
          <w:iCs/>
          <w:sz w:val="24"/>
          <w:szCs w:val="24"/>
        </w:rPr>
        <w:t xml:space="preserve">.2 </w:t>
      </w:r>
      <w:r>
        <w:rPr>
          <w:rFonts w:ascii="Arial" w:hAnsi="Arial" w:cs="Arial"/>
          <w:iCs/>
          <w:sz w:val="24"/>
          <w:szCs w:val="24"/>
        </w:rPr>
        <w:tab/>
      </w:r>
      <w:r w:rsidR="00696FF5" w:rsidRPr="009D52D0">
        <w:rPr>
          <w:rFonts w:ascii="Arial" w:hAnsi="Arial" w:cs="Arial"/>
          <w:iCs/>
          <w:sz w:val="24"/>
          <w:szCs w:val="24"/>
        </w:rPr>
        <w:t xml:space="preserve">Reassessment methods </w:t>
      </w:r>
    </w:p>
    <w:p w14:paraId="00B1CF1B" w14:textId="6D4F62C5" w:rsidR="00B72470" w:rsidRDefault="002A1D60" w:rsidP="00A86D74">
      <w:pPr>
        <w:spacing w:after="120" w:line="240" w:lineRule="auto"/>
        <w:ind w:left="786" w:right="543"/>
        <w:rPr>
          <w:rFonts w:ascii="Arial" w:hAnsi="Arial" w:cs="Arial"/>
          <w:iCs/>
          <w:sz w:val="24"/>
          <w:szCs w:val="24"/>
        </w:rPr>
      </w:pPr>
      <w:r w:rsidRPr="002A1D60">
        <w:rPr>
          <w:rFonts w:ascii="Arial" w:hAnsi="Arial" w:cs="Arial"/>
          <w:iCs/>
          <w:sz w:val="24"/>
          <w:szCs w:val="24"/>
        </w:rPr>
        <w:t>•</w:t>
      </w:r>
      <w:r w:rsidRPr="002A1D60">
        <w:rPr>
          <w:rFonts w:ascii="Arial" w:hAnsi="Arial" w:cs="Arial"/>
          <w:iCs/>
          <w:sz w:val="24"/>
          <w:szCs w:val="24"/>
        </w:rPr>
        <w:tab/>
        <w:t>100% Coursework (3,000 words)</w:t>
      </w:r>
    </w:p>
    <w:p w14:paraId="4062F7E7" w14:textId="77777777" w:rsidR="008D4447" w:rsidRPr="008D4447" w:rsidRDefault="008D4447" w:rsidP="009D52D0">
      <w:pPr>
        <w:spacing w:after="120" w:line="240" w:lineRule="auto"/>
        <w:ind w:left="426" w:right="543"/>
        <w:rPr>
          <w:rFonts w:ascii="Arial" w:hAnsi="Arial" w:cs="Arial"/>
          <w:iCs/>
          <w:sz w:val="24"/>
          <w:szCs w:val="24"/>
        </w:rPr>
      </w:pPr>
    </w:p>
    <w:p w14:paraId="2FCD427F" w14:textId="65223EC4" w:rsidR="00274ED7" w:rsidRPr="009D52D0" w:rsidRDefault="006F3F8B" w:rsidP="00072357">
      <w:pPr>
        <w:pStyle w:val="Heading2"/>
      </w:pPr>
      <w:r w:rsidRPr="009D52D0">
        <w:t xml:space="preserve">Map of </w:t>
      </w:r>
      <w:r w:rsidR="00883204" w:rsidRPr="009D52D0">
        <w:t xml:space="preserve">module learning outcomes </w:t>
      </w:r>
      <w:r w:rsidR="00B30E07" w:rsidRPr="009D52D0">
        <w:t xml:space="preserve">(sections </w:t>
      </w:r>
      <w:r w:rsidR="00A86D74">
        <w:t>8</w:t>
      </w:r>
      <w:r w:rsidR="00B30E07" w:rsidRPr="009D52D0">
        <w:t xml:space="preserve"> &amp; </w:t>
      </w:r>
      <w:r w:rsidR="00A86D74">
        <w:t>9</w:t>
      </w:r>
      <w:r w:rsidR="00B30E07" w:rsidRPr="009D52D0">
        <w:t>)</w:t>
      </w:r>
      <w:r w:rsidR="00883204" w:rsidRPr="009D52D0">
        <w:t xml:space="preserve"> to l</w:t>
      </w:r>
      <w:r w:rsidRPr="009D52D0">
        <w:t>earning</w:t>
      </w:r>
      <w:r w:rsidR="00B30E07" w:rsidRPr="009D52D0">
        <w:t xml:space="preserve"> and </w:t>
      </w:r>
      <w:r w:rsidR="00883204" w:rsidRPr="009D52D0">
        <w:t>teaching m</w:t>
      </w:r>
      <w:r w:rsidR="00B30E07" w:rsidRPr="009D52D0">
        <w:t>ethods</w:t>
      </w:r>
      <w:r w:rsidRPr="009D52D0">
        <w:t xml:space="preserve"> and m</w:t>
      </w:r>
      <w:r w:rsidR="00883204" w:rsidRPr="009D52D0">
        <w:t>ethods of a</w:t>
      </w:r>
      <w:r w:rsidR="00B30E07" w:rsidRPr="009D52D0">
        <w:t>ssessment (section 1</w:t>
      </w:r>
      <w:r w:rsidR="00A86D74">
        <w:t>3</w:t>
      </w:r>
      <w:r w:rsidR="00EF4933" w:rsidRPr="009D52D0">
        <w:t>)</w:t>
      </w:r>
    </w:p>
    <w:p w14:paraId="707CBE74" w14:textId="252DF6B7" w:rsidR="001C1787" w:rsidRDefault="001C1787" w:rsidP="009D52D0">
      <w:pPr>
        <w:spacing w:after="120" w:line="240" w:lineRule="auto"/>
        <w:ind w:left="567" w:right="543"/>
        <w:jc w:val="both"/>
        <w:rPr>
          <w:rFonts w:ascii="Arial" w:hAnsi="Arial" w:cs="Arial"/>
          <w:i/>
          <w:iCs/>
          <w:sz w:val="24"/>
          <w:szCs w:val="24"/>
        </w:rPr>
      </w:pPr>
    </w:p>
    <w:p w14:paraId="6F5E84D9" w14:textId="21BBC0D5" w:rsidR="00636058" w:rsidRPr="00636058" w:rsidRDefault="00636058" w:rsidP="009D52D0">
      <w:pPr>
        <w:spacing w:after="120" w:line="240" w:lineRule="auto"/>
        <w:ind w:left="567" w:right="543"/>
        <w:jc w:val="both"/>
        <w:rPr>
          <w:rFonts w:ascii="Arial" w:hAnsi="Arial" w:cs="Arial"/>
          <w:b/>
          <w:bCs/>
          <w:sz w:val="24"/>
          <w:szCs w:val="24"/>
        </w:rPr>
      </w:pPr>
      <w:r w:rsidRPr="00636058">
        <w:rPr>
          <w:rFonts w:ascii="Arial" w:hAnsi="Arial" w:cs="Arial"/>
          <w:b/>
          <w:bCs/>
          <w:sz w:val="24"/>
          <w:szCs w:val="24"/>
        </w:rPr>
        <w:t>Module learning outcomes against learning and teaching methods:</w:t>
      </w:r>
    </w:p>
    <w:tbl>
      <w:tblPr>
        <w:tblStyle w:val="TableGrid"/>
        <w:tblW w:w="6408" w:type="dxa"/>
        <w:tblInd w:w="610" w:type="dxa"/>
        <w:tblLayout w:type="fixed"/>
        <w:tblLook w:val="04A0" w:firstRow="1" w:lastRow="0" w:firstColumn="1" w:lastColumn="0" w:noHBand="0" w:noVBand="1"/>
      </w:tblPr>
      <w:tblGrid>
        <w:gridCol w:w="2439"/>
        <w:gridCol w:w="567"/>
        <w:gridCol w:w="567"/>
        <w:gridCol w:w="567"/>
        <w:gridCol w:w="567"/>
        <w:gridCol w:w="567"/>
        <w:gridCol w:w="567"/>
        <w:gridCol w:w="567"/>
      </w:tblGrid>
      <w:tr w:rsidR="00244745" w:rsidRPr="009D52D0" w14:paraId="5413EC92" w14:textId="77777777" w:rsidTr="00244745">
        <w:trPr>
          <w:cantSplit/>
          <w:tblHeader/>
        </w:trPr>
        <w:tc>
          <w:tcPr>
            <w:tcW w:w="2439" w:type="dxa"/>
            <w:shd w:val="clear" w:color="auto" w:fill="D9D9D9" w:themeFill="background1" w:themeFillShade="D9"/>
          </w:tcPr>
          <w:p w14:paraId="140365DD" w14:textId="77777777" w:rsidR="00244745" w:rsidRPr="009D52D0" w:rsidRDefault="00244745" w:rsidP="004F0496">
            <w:pPr>
              <w:spacing w:after="120"/>
              <w:ind w:left="33" w:right="543"/>
              <w:rPr>
                <w:rFonts w:ascii="Arial" w:hAnsi="Arial" w:cs="Arial"/>
                <w:b/>
                <w:sz w:val="20"/>
                <w:szCs w:val="20"/>
              </w:rPr>
            </w:pPr>
            <w:r w:rsidRPr="009D52D0">
              <w:rPr>
                <w:rFonts w:ascii="Arial" w:hAnsi="Arial" w:cs="Arial"/>
                <w:b/>
                <w:sz w:val="20"/>
                <w:szCs w:val="20"/>
              </w:rPr>
              <w:t>Module learning outcome</w:t>
            </w:r>
          </w:p>
        </w:tc>
        <w:tc>
          <w:tcPr>
            <w:tcW w:w="567" w:type="dxa"/>
          </w:tcPr>
          <w:p w14:paraId="6167848F" w14:textId="77777777" w:rsidR="00244745" w:rsidRPr="009D52D0" w:rsidRDefault="00244745" w:rsidP="004F0496">
            <w:pPr>
              <w:spacing w:after="120"/>
              <w:ind w:right="543"/>
              <w:rPr>
                <w:rFonts w:ascii="Arial" w:hAnsi="Arial" w:cs="Arial"/>
                <w:sz w:val="20"/>
                <w:szCs w:val="20"/>
              </w:rPr>
            </w:pPr>
            <w:r w:rsidRPr="009D52D0">
              <w:rPr>
                <w:rFonts w:ascii="Arial" w:hAnsi="Arial" w:cs="Arial"/>
                <w:sz w:val="20"/>
                <w:szCs w:val="20"/>
              </w:rPr>
              <w:t>8.1</w:t>
            </w:r>
          </w:p>
        </w:tc>
        <w:tc>
          <w:tcPr>
            <w:tcW w:w="567" w:type="dxa"/>
          </w:tcPr>
          <w:p w14:paraId="5B554168" w14:textId="77777777" w:rsidR="00244745" w:rsidRPr="009D52D0" w:rsidRDefault="00244745" w:rsidP="004F0496">
            <w:pPr>
              <w:spacing w:after="120"/>
              <w:ind w:right="543"/>
              <w:rPr>
                <w:rFonts w:ascii="Arial" w:hAnsi="Arial" w:cs="Arial"/>
                <w:sz w:val="20"/>
                <w:szCs w:val="20"/>
              </w:rPr>
            </w:pPr>
            <w:r w:rsidRPr="009D52D0">
              <w:rPr>
                <w:rFonts w:ascii="Arial" w:hAnsi="Arial" w:cs="Arial"/>
                <w:sz w:val="20"/>
                <w:szCs w:val="20"/>
              </w:rPr>
              <w:t>8.2</w:t>
            </w:r>
          </w:p>
        </w:tc>
        <w:tc>
          <w:tcPr>
            <w:tcW w:w="567" w:type="dxa"/>
          </w:tcPr>
          <w:p w14:paraId="70BB1C5A" w14:textId="77777777" w:rsidR="00244745" w:rsidRPr="009D52D0" w:rsidRDefault="00244745" w:rsidP="004F0496">
            <w:pPr>
              <w:spacing w:after="120"/>
              <w:ind w:right="543"/>
              <w:rPr>
                <w:rFonts w:ascii="Arial" w:hAnsi="Arial" w:cs="Arial"/>
                <w:sz w:val="20"/>
                <w:szCs w:val="20"/>
              </w:rPr>
            </w:pPr>
            <w:r w:rsidRPr="009D52D0">
              <w:rPr>
                <w:rFonts w:ascii="Arial" w:hAnsi="Arial" w:cs="Arial"/>
                <w:sz w:val="20"/>
                <w:szCs w:val="20"/>
              </w:rPr>
              <w:t>8.3</w:t>
            </w:r>
          </w:p>
        </w:tc>
        <w:tc>
          <w:tcPr>
            <w:tcW w:w="567" w:type="dxa"/>
          </w:tcPr>
          <w:p w14:paraId="553BA646" w14:textId="77777777" w:rsidR="00244745" w:rsidRPr="009D52D0" w:rsidRDefault="00244745" w:rsidP="004F0496">
            <w:pPr>
              <w:spacing w:after="120"/>
              <w:ind w:right="543"/>
              <w:rPr>
                <w:rFonts w:ascii="Arial" w:hAnsi="Arial" w:cs="Arial"/>
                <w:sz w:val="20"/>
                <w:szCs w:val="20"/>
              </w:rPr>
            </w:pPr>
            <w:r w:rsidRPr="009D52D0">
              <w:rPr>
                <w:rFonts w:ascii="Arial" w:hAnsi="Arial" w:cs="Arial"/>
                <w:sz w:val="20"/>
                <w:szCs w:val="20"/>
              </w:rPr>
              <w:t>8.4</w:t>
            </w:r>
          </w:p>
        </w:tc>
        <w:tc>
          <w:tcPr>
            <w:tcW w:w="567" w:type="dxa"/>
          </w:tcPr>
          <w:p w14:paraId="3B577D4A" w14:textId="77777777" w:rsidR="00244745" w:rsidRPr="009D52D0" w:rsidRDefault="00244745" w:rsidP="004F0496">
            <w:pPr>
              <w:spacing w:after="120"/>
              <w:ind w:right="543"/>
              <w:rPr>
                <w:rFonts w:ascii="Arial" w:hAnsi="Arial" w:cs="Arial"/>
                <w:sz w:val="20"/>
                <w:szCs w:val="20"/>
              </w:rPr>
            </w:pPr>
            <w:r w:rsidRPr="009D52D0">
              <w:rPr>
                <w:rFonts w:ascii="Arial" w:hAnsi="Arial" w:cs="Arial"/>
                <w:sz w:val="20"/>
                <w:szCs w:val="20"/>
              </w:rPr>
              <w:t>9.1</w:t>
            </w:r>
          </w:p>
        </w:tc>
        <w:tc>
          <w:tcPr>
            <w:tcW w:w="567" w:type="dxa"/>
          </w:tcPr>
          <w:p w14:paraId="266E4126" w14:textId="77777777" w:rsidR="00244745" w:rsidRPr="009D52D0" w:rsidRDefault="00244745" w:rsidP="004F0496">
            <w:pPr>
              <w:spacing w:after="120"/>
              <w:ind w:right="543"/>
              <w:rPr>
                <w:rFonts w:ascii="Arial" w:hAnsi="Arial" w:cs="Arial"/>
                <w:sz w:val="20"/>
                <w:szCs w:val="20"/>
              </w:rPr>
            </w:pPr>
            <w:r w:rsidRPr="009D52D0">
              <w:rPr>
                <w:rFonts w:ascii="Arial" w:hAnsi="Arial" w:cs="Arial"/>
                <w:sz w:val="20"/>
                <w:szCs w:val="20"/>
              </w:rPr>
              <w:t>9.2</w:t>
            </w:r>
          </w:p>
        </w:tc>
        <w:tc>
          <w:tcPr>
            <w:tcW w:w="567" w:type="dxa"/>
          </w:tcPr>
          <w:p w14:paraId="6EC60A4C" w14:textId="77777777" w:rsidR="00244745" w:rsidRPr="009D52D0" w:rsidRDefault="00244745" w:rsidP="004F0496">
            <w:pPr>
              <w:spacing w:after="120"/>
              <w:ind w:right="543"/>
              <w:rPr>
                <w:rFonts w:ascii="Arial" w:hAnsi="Arial" w:cs="Arial"/>
                <w:sz w:val="20"/>
                <w:szCs w:val="20"/>
              </w:rPr>
            </w:pPr>
            <w:r w:rsidRPr="009D52D0">
              <w:rPr>
                <w:rFonts w:ascii="Arial" w:hAnsi="Arial" w:cs="Arial"/>
                <w:sz w:val="20"/>
                <w:szCs w:val="20"/>
              </w:rPr>
              <w:t>9.3</w:t>
            </w:r>
          </w:p>
        </w:tc>
      </w:tr>
      <w:tr w:rsidR="00244745" w:rsidRPr="009D52D0" w14:paraId="780DC4A5" w14:textId="77777777" w:rsidTr="00244745">
        <w:tc>
          <w:tcPr>
            <w:tcW w:w="2439" w:type="dxa"/>
          </w:tcPr>
          <w:p w14:paraId="16F79E00" w14:textId="77777777" w:rsidR="00244745" w:rsidRPr="009D52D0" w:rsidRDefault="00244745" w:rsidP="004F0496">
            <w:pPr>
              <w:spacing w:after="120"/>
              <w:ind w:right="543"/>
              <w:rPr>
                <w:rFonts w:ascii="Arial" w:hAnsi="Arial" w:cs="Arial"/>
                <w:b/>
                <w:sz w:val="20"/>
                <w:szCs w:val="20"/>
              </w:rPr>
            </w:pPr>
            <w:r w:rsidRPr="009D52D0">
              <w:rPr>
                <w:rFonts w:ascii="Arial" w:hAnsi="Arial" w:cs="Arial"/>
                <w:b/>
                <w:sz w:val="20"/>
                <w:szCs w:val="20"/>
              </w:rPr>
              <w:t>Private Study</w:t>
            </w:r>
          </w:p>
        </w:tc>
        <w:tc>
          <w:tcPr>
            <w:tcW w:w="567" w:type="dxa"/>
          </w:tcPr>
          <w:p w14:paraId="34752F0E" w14:textId="40C4448C" w:rsidR="00244745" w:rsidRPr="009D52D0" w:rsidRDefault="00244745" w:rsidP="004F0496">
            <w:pPr>
              <w:spacing w:after="120"/>
              <w:ind w:right="543"/>
              <w:rPr>
                <w:rFonts w:ascii="Arial" w:hAnsi="Arial" w:cs="Arial"/>
                <w:b/>
                <w:sz w:val="20"/>
                <w:szCs w:val="20"/>
              </w:rPr>
            </w:pPr>
            <w:r>
              <w:rPr>
                <w:rFonts w:ascii="Arial" w:hAnsi="Arial" w:cs="Arial"/>
                <w:b/>
                <w:sz w:val="20"/>
                <w:szCs w:val="20"/>
              </w:rPr>
              <w:t>X</w:t>
            </w:r>
          </w:p>
        </w:tc>
        <w:tc>
          <w:tcPr>
            <w:tcW w:w="567" w:type="dxa"/>
          </w:tcPr>
          <w:p w14:paraId="0E9B09C0" w14:textId="132D799E" w:rsidR="00244745" w:rsidRPr="009D52D0" w:rsidRDefault="00244745" w:rsidP="004F0496">
            <w:pPr>
              <w:spacing w:after="120"/>
              <w:ind w:right="543"/>
              <w:rPr>
                <w:rFonts w:ascii="Arial" w:hAnsi="Arial" w:cs="Arial"/>
                <w:b/>
                <w:sz w:val="20"/>
                <w:szCs w:val="20"/>
              </w:rPr>
            </w:pPr>
            <w:r>
              <w:rPr>
                <w:rFonts w:ascii="Arial" w:hAnsi="Arial" w:cs="Arial"/>
                <w:b/>
                <w:sz w:val="20"/>
                <w:szCs w:val="20"/>
              </w:rPr>
              <w:t>X</w:t>
            </w:r>
          </w:p>
        </w:tc>
        <w:tc>
          <w:tcPr>
            <w:tcW w:w="567" w:type="dxa"/>
          </w:tcPr>
          <w:p w14:paraId="6CD1C02C" w14:textId="161E7B57" w:rsidR="00244745" w:rsidRPr="009D52D0" w:rsidRDefault="00244745" w:rsidP="004F0496">
            <w:pPr>
              <w:spacing w:after="120"/>
              <w:ind w:right="543"/>
              <w:rPr>
                <w:rFonts w:ascii="Arial" w:hAnsi="Arial" w:cs="Arial"/>
                <w:b/>
                <w:sz w:val="20"/>
                <w:szCs w:val="20"/>
              </w:rPr>
            </w:pPr>
            <w:r>
              <w:rPr>
                <w:rFonts w:ascii="Arial" w:hAnsi="Arial" w:cs="Arial"/>
                <w:b/>
                <w:sz w:val="20"/>
                <w:szCs w:val="20"/>
              </w:rPr>
              <w:t>X</w:t>
            </w:r>
          </w:p>
        </w:tc>
        <w:tc>
          <w:tcPr>
            <w:tcW w:w="567" w:type="dxa"/>
          </w:tcPr>
          <w:p w14:paraId="45C64561" w14:textId="27A9431C" w:rsidR="00244745" w:rsidRPr="009D52D0" w:rsidRDefault="00244745" w:rsidP="004F0496">
            <w:pPr>
              <w:spacing w:after="120"/>
              <w:ind w:right="543"/>
              <w:rPr>
                <w:rFonts w:ascii="Arial" w:hAnsi="Arial" w:cs="Arial"/>
                <w:b/>
                <w:sz w:val="20"/>
                <w:szCs w:val="20"/>
              </w:rPr>
            </w:pPr>
            <w:r>
              <w:rPr>
                <w:rFonts w:ascii="Arial" w:hAnsi="Arial" w:cs="Arial"/>
                <w:b/>
                <w:sz w:val="20"/>
                <w:szCs w:val="20"/>
              </w:rPr>
              <w:t>X</w:t>
            </w:r>
          </w:p>
        </w:tc>
        <w:tc>
          <w:tcPr>
            <w:tcW w:w="567" w:type="dxa"/>
          </w:tcPr>
          <w:p w14:paraId="2A716802" w14:textId="2BEA7353" w:rsidR="00244745" w:rsidRPr="009D52D0" w:rsidRDefault="00244745" w:rsidP="004F0496">
            <w:pPr>
              <w:spacing w:after="120"/>
              <w:ind w:right="543"/>
              <w:rPr>
                <w:rFonts w:ascii="Arial" w:hAnsi="Arial" w:cs="Arial"/>
                <w:b/>
                <w:sz w:val="20"/>
                <w:szCs w:val="20"/>
              </w:rPr>
            </w:pPr>
            <w:r>
              <w:rPr>
                <w:rFonts w:ascii="Arial" w:hAnsi="Arial" w:cs="Arial"/>
                <w:b/>
                <w:sz w:val="20"/>
                <w:szCs w:val="20"/>
              </w:rPr>
              <w:t>X</w:t>
            </w:r>
          </w:p>
        </w:tc>
        <w:tc>
          <w:tcPr>
            <w:tcW w:w="567" w:type="dxa"/>
          </w:tcPr>
          <w:p w14:paraId="5BAFD1A4" w14:textId="75E3B79A" w:rsidR="00244745" w:rsidRPr="009D52D0" w:rsidRDefault="00244745" w:rsidP="004F0496">
            <w:pPr>
              <w:spacing w:after="120"/>
              <w:ind w:right="543"/>
              <w:rPr>
                <w:rFonts w:ascii="Arial" w:hAnsi="Arial" w:cs="Arial"/>
                <w:b/>
                <w:sz w:val="20"/>
                <w:szCs w:val="20"/>
              </w:rPr>
            </w:pPr>
            <w:r>
              <w:rPr>
                <w:rFonts w:ascii="Arial" w:hAnsi="Arial" w:cs="Arial"/>
                <w:b/>
                <w:sz w:val="20"/>
                <w:szCs w:val="20"/>
              </w:rPr>
              <w:t>X</w:t>
            </w:r>
          </w:p>
        </w:tc>
        <w:tc>
          <w:tcPr>
            <w:tcW w:w="567" w:type="dxa"/>
          </w:tcPr>
          <w:p w14:paraId="030A7445" w14:textId="3442848A" w:rsidR="00244745" w:rsidRPr="009D52D0" w:rsidRDefault="00244745" w:rsidP="004F0496">
            <w:pPr>
              <w:spacing w:after="120"/>
              <w:ind w:right="543"/>
              <w:rPr>
                <w:rFonts w:ascii="Arial" w:hAnsi="Arial" w:cs="Arial"/>
                <w:b/>
                <w:sz w:val="20"/>
                <w:szCs w:val="20"/>
              </w:rPr>
            </w:pPr>
            <w:r>
              <w:rPr>
                <w:rFonts w:ascii="Arial" w:hAnsi="Arial" w:cs="Arial"/>
                <w:b/>
                <w:sz w:val="20"/>
                <w:szCs w:val="20"/>
              </w:rPr>
              <w:t>X</w:t>
            </w:r>
          </w:p>
        </w:tc>
      </w:tr>
      <w:tr w:rsidR="00244745" w:rsidRPr="009D52D0" w14:paraId="5C50A519" w14:textId="77777777" w:rsidTr="00244745">
        <w:tc>
          <w:tcPr>
            <w:tcW w:w="2439" w:type="dxa"/>
          </w:tcPr>
          <w:p w14:paraId="433DE3A7" w14:textId="2A6FB68D" w:rsidR="00244745" w:rsidRPr="00244745" w:rsidRDefault="00244745">
            <w:pPr>
              <w:spacing w:after="120"/>
              <w:ind w:right="543"/>
              <w:rPr>
                <w:rFonts w:ascii="Arial" w:hAnsi="Arial" w:cs="Arial"/>
                <w:sz w:val="20"/>
                <w:szCs w:val="20"/>
              </w:rPr>
            </w:pPr>
            <w:r>
              <w:rPr>
                <w:rFonts w:ascii="Arial" w:hAnsi="Arial" w:cs="Arial"/>
                <w:sz w:val="20"/>
                <w:szCs w:val="20"/>
              </w:rPr>
              <w:t>Seminars</w:t>
            </w:r>
          </w:p>
        </w:tc>
        <w:tc>
          <w:tcPr>
            <w:tcW w:w="567" w:type="dxa"/>
          </w:tcPr>
          <w:p w14:paraId="3853654B" w14:textId="7D56132A" w:rsidR="00244745" w:rsidRPr="009D52D0" w:rsidRDefault="00244745" w:rsidP="004F0496">
            <w:pPr>
              <w:spacing w:after="120"/>
              <w:ind w:right="543"/>
              <w:rPr>
                <w:rFonts w:ascii="Arial" w:hAnsi="Arial" w:cs="Arial"/>
                <w:b/>
                <w:sz w:val="20"/>
                <w:szCs w:val="20"/>
              </w:rPr>
            </w:pPr>
            <w:r>
              <w:rPr>
                <w:rFonts w:ascii="Arial" w:hAnsi="Arial" w:cs="Arial"/>
                <w:b/>
                <w:sz w:val="20"/>
                <w:szCs w:val="20"/>
              </w:rPr>
              <w:t>X</w:t>
            </w:r>
          </w:p>
        </w:tc>
        <w:tc>
          <w:tcPr>
            <w:tcW w:w="567" w:type="dxa"/>
          </w:tcPr>
          <w:p w14:paraId="7261D01A" w14:textId="2D86C61A" w:rsidR="00244745" w:rsidRPr="009D52D0" w:rsidRDefault="00244745" w:rsidP="004F0496">
            <w:pPr>
              <w:spacing w:after="120"/>
              <w:ind w:right="543"/>
              <w:rPr>
                <w:rFonts w:ascii="Arial" w:hAnsi="Arial" w:cs="Arial"/>
                <w:b/>
                <w:sz w:val="20"/>
                <w:szCs w:val="20"/>
              </w:rPr>
            </w:pPr>
            <w:r>
              <w:rPr>
                <w:rFonts w:ascii="Arial" w:hAnsi="Arial" w:cs="Arial"/>
                <w:b/>
                <w:sz w:val="20"/>
                <w:szCs w:val="20"/>
              </w:rPr>
              <w:t>X</w:t>
            </w:r>
          </w:p>
        </w:tc>
        <w:tc>
          <w:tcPr>
            <w:tcW w:w="567" w:type="dxa"/>
          </w:tcPr>
          <w:p w14:paraId="2D7957D4" w14:textId="3AC3E084" w:rsidR="00244745" w:rsidRPr="009D52D0" w:rsidRDefault="00244745" w:rsidP="004F0496">
            <w:pPr>
              <w:spacing w:after="120"/>
              <w:ind w:right="543"/>
              <w:rPr>
                <w:rFonts w:ascii="Arial" w:hAnsi="Arial" w:cs="Arial"/>
                <w:b/>
                <w:sz w:val="20"/>
                <w:szCs w:val="20"/>
              </w:rPr>
            </w:pPr>
            <w:r>
              <w:rPr>
                <w:rFonts w:ascii="Arial" w:hAnsi="Arial" w:cs="Arial"/>
                <w:b/>
                <w:sz w:val="20"/>
                <w:szCs w:val="20"/>
              </w:rPr>
              <w:t>X</w:t>
            </w:r>
          </w:p>
        </w:tc>
        <w:tc>
          <w:tcPr>
            <w:tcW w:w="567" w:type="dxa"/>
          </w:tcPr>
          <w:p w14:paraId="232B2686" w14:textId="0D4E3065" w:rsidR="00244745" w:rsidRPr="009D52D0" w:rsidRDefault="00244745" w:rsidP="004F0496">
            <w:pPr>
              <w:spacing w:after="120"/>
              <w:ind w:right="543"/>
              <w:rPr>
                <w:rFonts w:ascii="Arial" w:hAnsi="Arial" w:cs="Arial"/>
                <w:b/>
                <w:sz w:val="20"/>
                <w:szCs w:val="20"/>
              </w:rPr>
            </w:pPr>
            <w:r>
              <w:rPr>
                <w:rFonts w:ascii="Arial" w:hAnsi="Arial" w:cs="Arial"/>
                <w:b/>
                <w:sz w:val="20"/>
                <w:szCs w:val="20"/>
              </w:rPr>
              <w:t>X</w:t>
            </w:r>
          </w:p>
        </w:tc>
        <w:tc>
          <w:tcPr>
            <w:tcW w:w="567" w:type="dxa"/>
          </w:tcPr>
          <w:p w14:paraId="2AE9F109" w14:textId="33174FB5" w:rsidR="00244745" w:rsidRPr="009D52D0" w:rsidRDefault="00244745" w:rsidP="004F0496">
            <w:pPr>
              <w:spacing w:after="120"/>
              <w:ind w:right="543"/>
              <w:rPr>
                <w:rFonts w:ascii="Arial" w:hAnsi="Arial" w:cs="Arial"/>
                <w:b/>
                <w:sz w:val="20"/>
                <w:szCs w:val="20"/>
              </w:rPr>
            </w:pPr>
            <w:r>
              <w:rPr>
                <w:rFonts w:ascii="Arial" w:hAnsi="Arial" w:cs="Arial"/>
                <w:b/>
                <w:sz w:val="20"/>
                <w:szCs w:val="20"/>
              </w:rPr>
              <w:t>X</w:t>
            </w:r>
          </w:p>
        </w:tc>
        <w:tc>
          <w:tcPr>
            <w:tcW w:w="567" w:type="dxa"/>
          </w:tcPr>
          <w:p w14:paraId="6BD0A090" w14:textId="6F5859C0" w:rsidR="00244745" w:rsidRPr="009D52D0" w:rsidRDefault="00244745" w:rsidP="004F0496">
            <w:pPr>
              <w:spacing w:after="120"/>
              <w:ind w:right="543"/>
              <w:rPr>
                <w:rFonts w:ascii="Arial" w:hAnsi="Arial" w:cs="Arial"/>
                <w:b/>
                <w:sz w:val="20"/>
                <w:szCs w:val="20"/>
              </w:rPr>
            </w:pPr>
            <w:r>
              <w:rPr>
                <w:rFonts w:ascii="Arial" w:hAnsi="Arial" w:cs="Arial"/>
                <w:b/>
                <w:sz w:val="20"/>
                <w:szCs w:val="20"/>
              </w:rPr>
              <w:t>X</w:t>
            </w:r>
          </w:p>
        </w:tc>
        <w:tc>
          <w:tcPr>
            <w:tcW w:w="567" w:type="dxa"/>
          </w:tcPr>
          <w:p w14:paraId="3DAC9A4A" w14:textId="36C8492E" w:rsidR="00244745" w:rsidRPr="009D52D0" w:rsidRDefault="00244745" w:rsidP="004F0496">
            <w:pPr>
              <w:spacing w:after="120"/>
              <w:ind w:right="543"/>
              <w:rPr>
                <w:rFonts w:ascii="Arial" w:hAnsi="Arial" w:cs="Arial"/>
                <w:b/>
                <w:sz w:val="20"/>
                <w:szCs w:val="20"/>
              </w:rPr>
            </w:pPr>
            <w:r>
              <w:rPr>
                <w:rFonts w:ascii="Arial" w:hAnsi="Arial" w:cs="Arial"/>
                <w:b/>
                <w:sz w:val="20"/>
                <w:szCs w:val="20"/>
              </w:rPr>
              <w:t>X</w:t>
            </w:r>
          </w:p>
        </w:tc>
      </w:tr>
      <w:tr w:rsidR="00244745" w:rsidRPr="009D52D0" w14:paraId="22619170" w14:textId="77777777" w:rsidTr="00244745">
        <w:tc>
          <w:tcPr>
            <w:tcW w:w="2439" w:type="dxa"/>
          </w:tcPr>
          <w:p w14:paraId="4FCDEF28" w14:textId="24A01A33" w:rsidR="00244745" w:rsidRPr="00244745" w:rsidRDefault="00244745">
            <w:pPr>
              <w:spacing w:after="120"/>
              <w:ind w:right="543"/>
              <w:rPr>
                <w:rFonts w:ascii="Arial" w:hAnsi="Arial" w:cs="Arial"/>
                <w:sz w:val="20"/>
                <w:szCs w:val="20"/>
              </w:rPr>
            </w:pPr>
            <w:r>
              <w:rPr>
                <w:rFonts w:ascii="Arial" w:hAnsi="Arial" w:cs="Arial"/>
                <w:sz w:val="20"/>
                <w:szCs w:val="20"/>
              </w:rPr>
              <w:t>L</w:t>
            </w:r>
            <w:r w:rsidRPr="00244745">
              <w:rPr>
                <w:rFonts w:ascii="Arial" w:hAnsi="Arial" w:cs="Arial"/>
                <w:sz w:val="20"/>
                <w:szCs w:val="20"/>
              </w:rPr>
              <w:t>ectures</w:t>
            </w:r>
          </w:p>
        </w:tc>
        <w:tc>
          <w:tcPr>
            <w:tcW w:w="567" w:type="dxa"/>
          </w:tcPr>
          <w:p w14:paraId="2A5CB317" w14:textId="42EB7D53" w:rsidR="00244745" w:rsidRPr="009D52D0" w:rsidRDefault="00244745" w:rsidP="004F0496">
            <w:pPr>
              <w:spacing w:after="120"/>
              <w:ind w:right="543"/>
              <w:rPr>
                <w:rFonts w:ascii="Arial" w:hAnsi="Arial" w:cs="Arial"/>
                <w:b/>
                <w:sz w:val="20"/>
                <w:szCs w:val="20"/>
              </w:rPr>
            </w:pPr>
            <w:r>
              <w:rPr>
                <w:rFonts w:ascii="Arial" w:hAnsi="Arial" w:cs="Arial"/>
                <w:b/>
                <w:sz w:val="20"/>
                <w:szCs w:val="20"/>
              </w:rPr>
              <w:t>X</w:t>
            </w:r>
          </w:p>
        </w:tc>
        <w:tc>
          <w:tcPr>
            <w:tcW w:w="567" w:type="dxa"/>
          </w:tcPr>
          <w:p w14:paraId="414F3FDD" w14:textId="007B3AE3" w:rsidR="00244745" w:rsidRPr="009D52D0" w:rsidRDefault="00244745" w:rsidP="004F0496">
            <w:pPr>
              <w:spacing w:after="120"/>
              <w:ind w:right="543"/>
              <w:rPr>
                <w:rFonts w:ascii="Arial" w:hAnsi="Arial" w:cs="Arial"/>
                <w:b/>
                <w:sz w:val="20"/>
                <w:szCs w:val="20"/>
              </w:rPr>
            </w:pPr>
            <w:r>
              <w:rPr>
                <w:rFonts w:ascii="Arial" w:hAnsi="Arial" w:cs="Arial"/>
                <w:b/>
                <w:sz w:val="20"/>
                <w:szCs w:val="20"/>
              </w:rPr>
              <w:t>X</w:t>
            </w:r>
          </w:p>
        </w:tc>
        <w:tc>
          <w:tcPr>
            <w:tcW w:w="567" w:type="dxa"/>
          </w:tcPr>
          <w:p w14:paraId="1851D834" w14:textId="6B383275" w:rsidR="00244745" w:rsidRPr="009D52D0" w:rsidRDefault="00244745" w:rsidP="004F0496">
            <w:pPr>
              <w:spacing w:after="120"/>
              <w:ind w:right="543"/>
              <w:rPr>
                <w:rFonts w:ascii="Arial" w:hAnsi="Arial" w:cs="Arial"/>
                <w:b/>
                <w:sz w:val="20"/>
                <w:szCs w:val="20"/>
              </w:rPr>
            </w:pPr>
            <w:r>
              <w:rPr>
                <w:rFonts w:ascii="Arial" w:hAnsi="Arial" w:cs="Arial"/>
                <w:b/>
                <w:sz w:val="20"/>
                <w:szCs w:val="20"/>
              </w:rPr>
              <w:t>X</w:t>
            </w:r>
          </w:p>
        </w:tc>
        <w:tc>
          <w:tcPr>
            <w:tcW w:w="567" w:type="dxa"/>
          </w:tcPr>
          <w:p w14:paraId="16E01158" w14:textId="53887F49" w:rsidR="00244745" w:rsidRPr="009D52D0" w:rsidRDefault="00244745" w:rsidP="004F0496">
            <w:pPr>
              <w:spacing w:after="120"/>
              <w:ind w:right="543"/>
              <w:rPr>
                <w:rFonts w:ascii="Arial" w:hAnsi="Arial" w:cs="Arial"/>
                <w:b/>
                <w:sz w:val="20"/>
                <w:szCs w:val="20"/>
              </w:rPr>
            </w:pPr>
            <w:r>
              <w:rPr>
                <w:rFonts w:ascii="Arial" w:hAnsi="Arial" w:cs="Arial"/>
                <w:b/>
                <w:sz w:val="20"/>
                <w:szCs w:val="20"/>
              </w:rPr>
              <w:t>X</w:t>
            </w:r>
          </w:p>
        </w:tc>
        <w:tc>
          <w:tcPr>
            <w:tcW w:w="567" w:type="dxa"/>
          </w:tcPr>
          <w:p w14:paraId="5DB74B51" w14:textId="77777777" w:rsidR="00244745" w:rsidRPr="009D52D0" w:rsidRDefault="00244745" w:rsidP="004F0496">
            <w:pPr>
              <w:spacing w:after="120"/>
              <w:ind w:right="543"/>
              <w:rPr>
                <w:rFonts w:ascii="Arial" w:hAnsi="Arial" w:cs="Arial"/>
                <w:b/>
                <w:sz w:val="20"/>
                <w:szCs w:val="20"/>
              </w:rPr>
            </w:pPr>
          </w:p>
        </w:tc>
        <w:tc>
          <w:tcPr>
            <w:tcW w:w="567" w:type="dxa"/>
          </w:tcPr>
          <w:p w14:paraId="5BD1446E" w14:textId="77777777" w:rsidR="00244745" w:rsidRPr="009D52D0" w:rsidRDefault="00244745" w:rsidP="004F0496">
            <w:pPr>
              <w:spacing w:after="120"/>
              <w:ind w:right="543"/>
              <w:rPr>
                <w:rFonts w:ascii="Arial" w:hAnsi="Arial" w:cs="Arial"/>
                <w:b/>
                <w:sz w:val="20"/>
                <w:szCs w:val="20"/>
              </w:rPr>
            </w:pPr>
          </w:p>
        </w:tc>
        <w:tc>
          <w:tcPr>
            <w:tcW w:w="567" w:type="dxa"/>
          </w:tcPr>
          <w:p w14:paraId="063B2048" w14:textId="77777777" w:rsidR="00244745" w:rsidRPr="009D52D0" w:rsidRDefault="00244745" w:rsidP="004F0496">
            <w:pPr>
              <w:spacing w:after="120"/>
              <w:ind w:right="543"/>
              <w:rPr>
                <w:rFonts w:ascii="Arial" w:hAnsi="Arial" w:cs="Arial"/>
                <w:b/>
                <w:sz w:val="20"/>
                <w:szCs w:val="20"/>
              </w:rPr>
            </w:pPr>
          </w:p>
        </w:tc>
      </w:tr>
    </w:tbl>
    <w:p w14:paraId="3AE17974" w14:textId="77777777" w:rsidR="00636058" w:rsidRPr="009D52D0" w:rsidRDefault="00636058" w:rsidP="009D52D0">
      <w:pPr>
        <w:spacing w:after="120" w:line="240" w:lineRule="auto"/>
        <w:ind w:left="567" w:right="543"/>
        <w:jc w:val="both"/>
        <w:rPr>
          <w:rFonts w:ascii="Arial" w:hAnsi="Arial" w:cs="Arial"/>
          <w:i/>
          <w:iCs/>
          <w:sz w:val="24"/>
          <w:szCs w:val="24"/>
        </w:rPr>
      </w:pPr>
    </w:p>
    <w:p w14:paraId="1DF2B576" w14:textId="6861D79A" w:rsidR="007A6245" w:rsidRDefault="00636058" w:rsidP="00636058">
      <w:pPr>
        <w:spacing w:after="120" w:line="240" w:lineRule="auto"/>
        <w:ind w:left="426" w:right="543" w:firstLine="294"/>
        <w:rPr>
          <w:rFonts w:ascii="Arial" w:hAnsi="Arial" w:cs="Arial"/>
          <w:b/>
          <w:iCs/>
          <w:sz w:val="24"/>
          <w:szCs w:val="24"/>
        </w:rPr>
      </w:pPr>
      <w:r>
        <w:rPr>
          <w:rFonts w:ascii="Arial" w:hAnsi="Arial" w:cs="Arial"/>
          <w:b/>
          <w:iCs/>
          <w:sz w:val="24"/>
          <w:szCs w:val="24"/>
        </w:rPr>
        <w:t>Module learning outcomes against assessment methods:</w:t>
      </w:r>
    </w:p>
    <w:tbl>
      <w:tblPr>
        <w:tblStyle w:val="TableGrid"/>
        <w:tblpPr w:leftFromText="180" w:rightFromText="180" w:vertAnchor="text" w:horzAnchor="page" w:tblpX="1294" w:tblpY="108"/>
        <w:tblW w:w="6516" w:type="dxa"/>
        <w:tblLayout w:type="fixed"/>
        <w:tblLook w:val="04A0" w:firstRow="1" w:lastRow="0" w:firstColumn="1" w:lastColumn="0" w:noHBand="0" w:noVBand="1"/>
      </w:tblPr>
      <w:tblGrid>
        <w:gridCol w:w="2405"/>
        <w:gridCol w:w="567"/>
        <w:gridCol w:w="567"/>
        <w:gridCol w:w="709"/>
        <w:gridCol w:w="567"/>
        <w:gridCol w:w="567"/>
        <w:gridCol w:w="567"/>
        <w:gridCol w:w="567"/>
      </w:tblGrid>
      <w:tr w:rsidR="00244745" w:rsidRPr="009D52D0" w14:paraId="7367825C" w14:textId="77777777" w:rsidTr="00244745">
        <w:trPr>
          <w:tblHeader/>
        </w:trPr>
        <w:tc>
          <w:tcPr>
            <w:tcW w:w="2405" w:type="dxa"/>
            <w:shd w:val="clear" w:color="auto" w:fill="D9D9D9" w:themeFill="background1" w:themeFillShade="D9"/>
          </w:tcPr>
          <w:p w14:paraId="4E99BFB5" w14:textId="77777777" w:rsidR="00244745" w:rsidRPr="009D52D0" w:rsidRDefault="00244745" w:rsidP="00636058">
            <w:pPr>
              <w:spacing w:after="120"/>
              <w:ind w:left="33" w:right="543"/>
              <w:rPr>
                <w:rFonts w:ascii="Arial" w:hAnsi="Arial" w:cs="Arial"/>
                <w:b/>
                <w:sz w:val="20"/>
                <w:szCs w:val="20"/>
              </w:rPr>
            </w:pPr>
            <w:r w:rsidRPr="009D52D0">
              <w:rPr>
                <w:rFonts w:ascii="Arial" w:hAnsi="Arial" w:cs="Arial"/>
                <w:b/>
                <w:sz w:val="20"/>
                <w:szCs w:val="20"/>
              </w:rPr>
              <w:t>Module learning outcome</w:t>
            </w:r>
          </w:p>
        </w:tc>
        <w:tc>
          <w:tcPr>
            <w:tcW w:w="567" w:type="dxa"/>
          </w:tcPr>
          <w:p w14:paraId="7B5C6163" w14:textId="77777777" w:rsidR="00244745" w:rsidRPr="009D52D0" w:rsidRDefault="00244745" w:rsidP="00636058">
            <w:pPr>
              <w:spacing w:after="120"/>
              <w:ind w:right="543"/>
              <w:rPr>
                <w:rFonts w:ascii="Arial" w:hAnsi="Arial" w:cs="Arial"/>
                <w:sz w:val="20"/>
                <w:szCs w:val="20"/>
              </w:rPr>
            </w:pPr>
            <w:r w:rsidRPr="009D52D0">
              <w:rPr>
                <w:rFonts w:ascii="Arial" w:hAnsi="Arial" w:cs="Arial"/>
                <w:sz w:val="20"/>
                <w:szCs w:val="20"/>
              </w:rPr>
              <w:t>8.1</w:t>
            </w:r>
          </w:p>
        </w:tc>
        <w:tc>
          <w:tcPr>
            <w:tcW w:w="567" w:type="dxa"/>
          </w:tcPr>
          <w:p w14:paraId="2210FC9E" w14:textId="77777777" w:rsidR="00244745" w:rsidRPr="009D52D0" w:rsidRDefault="00244745" w:rsidP="00636058">
            <w:pPr>
              <w:spacing w:after="120"/>
              <w:ind w:right="543"/>
              <w:rPr>
                <w:rFonts w:ascii="Arial" w:hAnsi="Arial" w:cs="Arial"/>
                <w:sz w:val="20"/>
                <w:szCs w:val="20"/>
              </w:rPr>
            </w:pPr>
            <w:r w:rsidRPr="009D52D0">
              <w:rPr>
                <w:rFonts w:ascii="Arial" w:hAnsi="Arial" w:cs="Arial"/>
                <w:sz w:val="20"/>
                <w:szCs w:val="20"/>
              </w:rPr>
              <w:t>8.2</w:t>
            </w:r>
          </w:p>
        </w:tc>
        <w:tc>
          <w:tcPr>
            <w:tcW w:w="709" w:type="dxa"/>
          </w:tcPr>
          <w:p w14:paraId="00B7F160" w14:textId="77777777" w:rsidR="00244745" w:rsidRPr="009D52D0" w:rsidRDefault="00244745" w:rsidP="00636058">
            <w:pPr>
              <w:spacing w:after="120"/>
              <w:ind w:right="543"/>
              <w:rPr>
                <w:rFonts w:ascii="Arial" w:hAnsi="Arial" w:cs="Arial"/>
                <w:sz w:val="20"/>
                <w:szCs w:val="20"/>
              </w:rPr>
            </w:pPr>
            <w:r w:rsidRPr="009D52D0">
              <w:rPr>
                <w:rFonts w:ascii="Arial" w:hAnsi="Arial" w:cs="Arial"/>
                <w:sz w:val="20"/>
                <w:szCs w:val="20"/>
              </w:rPr>
              <w:t>8.3</w:t>
            </w:r>
          </w:p>
        </w:tc>
        <w:tc>
          <w:tcPr>
            <w:tcW w:w="567" w:type="dxa"/>
          </w:tcPr>
          <w:p w14:paraId="2BB3974A" w14:textId="77777777" w:rsidR="00244745" w:rsidRPr="009D52D0" w:rsidRDefault="00244745" w:rsidP="00636058">
            <w:pPr>
              <w:spacing w:after="120"/>
              <w:ind w:right="543"/>
              <w:rPr>
                <w:rFonts w:ascii="Arial" w:hAnsi="Arial" w:cs="Arial"/>
                <w:sz w:val="20"/>
                <w:szCs w:val="20"/>
              </w:rPr>
            </w:pPr>
            <w:r w:rsidRPr="009D52D0">
              <w:rPr>
                <w:rFonts w:ascii="Arial" w:hAnsi="Arial" w:cs="Arial"/>
                <w:sz w:val="20"/>
                <w:szCs w:val="20"/>
              </w:rPr>
              <w:t>8.4</w:t>
            </w:r>
          </w:p>
        </w:tc>
        <w:tc>
          <w:tcPr>
            <w:tcW w:w="567" w:type="dxa"/>
          </w:tcPr>
          <w:p w14:paraId="0D56B3A5" w14:textId="77777777" w:rsidR="00244745" w:rsidRPr="009D52D0" w:rsidRDefault="00244745" w:rsidP="00636058">
            <w:pPr>
              <w:spacing w:after="120"/>
              <w:ind w:right="543"/>
              <w:rPr>
                <w:rFonts w:ascii="Arial" w:hAnsi="Arial" w:cs="Arial"/>
                <w:sz w:val="20"/>
                <w:szCs w:val="20"/>
              </w:rPr>
            </w:pPr>
            <w:r w:rsidRPr="009D52D0">
              <w:rPr>
                <w:rFonts w:ascii="Arial" w:hAnsi="Arial" w:cs="Arial"/>
                <w:sz w:val="20"/>
                <w:szCs w:val="20"/>
              </w:rPr>
              <w:t>9.1</w:t>
            </w:r>
          </w:p>
        </w:tc>
        <w:tc>
          <w:tcPr>
            <w:tcW w:w="567" w:type="dxa"/>
          </w:tcPr>
          <w:p w14:paraId="523687DC" w14:textId="77777777" w:rsidR="00244745" w:rsidRPr="009D52D0" w:rsidRDefault="00244745" w:rsidP="00636058">
            <w:pPr>
              <w:spacing w:after="120"/>
              <w:ind w:right="543"/>
              <w:rPr>
                <w:rFonts w:ascii="Arial" w:hAnsi="Arial" w:cs="Arial"/>
                <w:sz w:val="20"/>
                <w:szCs w:val="20"/>
              </w:rPr>
            </w:pPr>
            <w:r w:rsidRPr="009D52D0">
              <w:rPr>
                <w:rFonts w:ascii="Arial" w:hAnsi="Arial" w:cs="Arial"/>
                <w:sz w:val="20"/>
                <w:szCs w:val="20"/>
              </w:rPr>
              <w:t>9.2</w:t>
            </w:r>
          </w:p>
        </w:tc>
        <w:tc>
          <w:tcPr>
            <w:tcW w:w="567" w:type="dxa"/>
          </w:tcPr>
          <w:p w14:paraId="1106ECFC" w14:textId="77777777" w:rsidR="00244745" w:rsidRPr="009D52D0" w:rsidRDefault="00244745" w:rsidP="00636058">
            <w:pPr>
              <w:spacing w:after="120"/>
              <w:ind w:right="543"/>
              <w:rPr>
                <w:rFonts w:ascii="Arial" w:hAnsi="Arial" w:cs="Arial"/>
                <w:sz w:val="20"/>
                <w:szCs w:val="20"/>
              </w:rPr>
            </w:pPr>
            <w:r w:rsidRPr="009D52D0">
              <w:rPr>
                <w:rFonts w:ascii="Arial" w:hAnsi="Arial" w:cs="Arial"/>
                <w:sz w:val="20"/>
                <w:szCs w:val="20"/>
              </w:rPr>
              <w:t>9.3</w:t>
            </w:r>
          </w:p>
        </w:tc>
      </w:tr>
      <w:tr w:rsidR="00244745" w:rsidRPr="009D52D0" w14:paraId="3E872A1E" w14:textId="77777777" w:rsidTr="00244745">
        <w:trPr>
          <w:tblHeader/>
        </w:trPr>
        <w:tc>
          <w:tcPr>
            <w:tcW w:w="2405" w:type="dxa"/>
          </w:tcPr>
          <w:p w14:paraId="4CEA8453" w14:textId="45B073AE" w:rsidR="00244745" w:rsidRPr="00244745" w:rsidRDefault="00244745" w:rsidP="00636058">
            <w:pPr>
              <w:spacing w:after="120"/>
              <w:ind w:right="543"/>
              <w:rPr>
                <w:rFonts w:ascii="Arial" w:hAnsi="Arial" w:cs="Arial"/>
                <w:sz w:val="20"/>
                <w:szCs w:val="20"/>
              </w:rPr>
            </w:pPr>
            <w:r w:rsidRPr="00244745">
              <w:rPr>
                <w:rFonts w:ascii="Arial" w:hAnsi="Arial" w:cs="Arial"/>
                <w:sz w:val="20"/>
                <w:szCs w:val="20"/>
              </w:rPr>
              <w:t xml:space="preserve">Essays </w:t>
            </w:r>
          </w:p>
        </w:tc>
        <w:tc>
          <w:tcPr>
            <w:tcW w:w="567" w:type="dxa"/>
          </w:tcPr>
          <w:p w14:paraId="5BE33B98" w14:textId="73C186DA" w:rsidR="00244745" w:rsidRPr="009D52D0" w:rsidRDefault="00244745" w:rsidP="00636058">
            <w:pPr>
              <w:spacing w:after="120"/>
              <w:ind w:right="543"/>
              <w:rPr>
                <w:rFonts w:ascii="Arial" w:hAnsi="Arial" w:cs="Arial"/>
                <w:b/>
                <w:sz w:val="20"/>
                <w:szCs w:val="20"/>
              </w:rPr>
            </w:pPr>
            <w:r>
              <w:rPr>
                <w:rFonts w:ascii="Arial" w:hAnsi="Arial" w:cs="Arial"/>
                <w:b/>
                <w:sz w:val="20"/>
                <w:szCs w:val="20"/>
              </w:rPr>
              <w:t>X</w:t>
            </w:r>
          </w:p>
        </w:tc>
        <w:tc>
          <w:tcPr>
            <w:tcW w:w="567" w:type="dxa"/>
          </w:tcPr>
          <w:p w14:paraId="37720F16" w14:textId="05C250F2" w:rsidR="00244745" w:rsidRPr="009D52D0" w:rsidRDefault="00244745" w:rsidP="00636058">
            <w:pPr>
              <w:spacing w:after="120"/>
              <w:ind w:right="543"/>
              <w:rPr>
                <w:rFonts w:ascii="Arial" w:hAnsi="Arial" w:cs="Arial"/>
                <w:b/>
                <w:sz w:val="20"/>
                <w:szCs w:val="20"/>
              </w:rPr>
            </w:pPr>
            <w:r>
              <w:rPr>
                <w:rFonts w:ascii="Arial" w:hAnsi="Arial" w:cs="Arial"/>
                <w:b/>
                <w:sz w:val="20"/>
                <w:szCs w:val="20"/>
              </w:rPr>
              <w:t>X</w:t>
            </w:r>
          </w:p>
        </w:tc>
        <w:tc>
          <w:tcPr>
            <w:tcW w:w="709" w:type="dxa"/>
          </w:tcPr>
          <w:p w14:paraId="2DB982CE" w14:textId="6A2A244D" w:rsidR="00244745" w:rsidRPr="009D52D0" w:rsidRDefault="00244745" w:rsidP="00636058">
            <w:pPr>
              <w:spacing w:after="120"/>
              <w:ind w:right="543"/>
              <w:rPr>
                <w:rFonts w:ascii="Arial" w:hAnsi="Arial" w:cs="Arial"/>
                <w:b/>
                <w:sz w:val="20"/>
                <w:szCs w:val="20"/>
              </w:rPr>
            </w:pPr>
            <w:r>
              <w:rPr>
                <w:rFonts w:ascii="Arial" w:hAnsi="Arial" w:cs="Arial"/>
                <w:b/>
                <w:sz w:val="20"/>
                <w:szCs w:val="20"/>
              </w:rPr>
              <w:t>X</w:t>
            </w:r>
          </w:p>
        </w:tc>
        <w:tc>
          <w:tcPr>
            <w:tcW w:w="567" w:type="dxa"/>
          </w:tcPr>
          <w:p w14:paraId="40DBDB13" w14:textId="65B8A0D4" w:rsidR="00244745" w:rsidRPr="009D52D0" w:rsidRDefault="00244745" w:rsidP="00636058">
            <w:pPr>
              <w:spacing w:after="120"/>
              <w:ind w:right="543"/>
              <w:rPr>
                <w:rFonts w:ascii="Arial" w:hAnsi="Arial" w:cs="Arial"/>
                <w:b/>
                <w:sz w:val="20"/>
                <w:szCs w:val="20"/>
              </w:rPr>
            </w:pPr>
            <w:r>
              <w:rPr>
                <w:rFonts w:ascii="Arial" w:hAnsi="Arial" w:cs="Arial"/>
                <w:b/>
                <w:sz w:val="20"/>
                <w:szCs w:val="20"/>
              </w:rPr>
              <w:t>X</w:t>
            </w:r>
          </w:p>
        </w:tc>
        <w:tc>
          <w:tcPr>
            <w:tcW w:w="567" w:type="dxa"/>
          </w:tcPr>
          <w:p w14:paraId="641E8425" w14:textId="60EEB0A1" w:rsidR="00244745" w:rsidRPr="009D52D0" w:rsidRDefault="00244745" w:rsidP="00636058">
            <w:pPr>
              <w:spacing w:after="120"/>
              <w:ind w:right="543"/>
              <w:rPr>
                <w:rFonts w:ascii="Arial" w:hAnsi="Arial" w:cs="Arial"/>
                <w:b/>
                <w:sz w:val="20"/>
                <w:szCs w:val="20"/>
              </w:rPr>
            </w:pPr>
            <w:r>
              <w:rPr>
                <w:rFonts w:ascii="Arial" w:hAnsi="Arial" w:cs="Arial"/>
                <w:b/>
                <w:sz w:val="20"/>
                <w:szCs w:val="20"/>
              </w:rPr>
              <w:t>X</w:t>
            </w:r>
          </w:p>
        </w:tc>
        <w:tc>
          <w:tcPr>
            <w:tcW w:w="567" w:type="dxa"/>
          </w:tcPr>
          <w:p w14:paraId="01C0711D" w14:textId="7E667087" w:rsidR="00244745" w:rsidRPr="009D52D0" w:rsidRDefault="00244745" w:rsidP="00636058">
            <w:pPr>
              <w:spacing w:after="120"/>
              <w:ind w:right="543"/>
              <w:rPr>
                <w:rFonts w:ascii="Arial" w:hAnsi="Arial" w:cs="Arial"/>
                <w:b/>
                <w:sz w:val="20"/>
                <w:szCs w:val="20"/>
              </w:rPr>
            </w:pPr>
            <w:r>
              <w:rPr>
                <w:rFonts w:ascii="Arial" w:hAnsi="Arial" w:cs="Arial"/>
                <w:b/>
                <w:sz w:val="20"/>
                <w:szCs w:val="20"/>
              </w:rPr>
              <w:t>X</w:t>
            </w:r>
          </w:p>
        </w:tc>
        <w:tc>
          <w:tcPr>
            <w:tcW w:w="567" w:type="dxa"/>
          </w:tcPr>
          <w:p w14:paraId="4EC007B4" w14:textId="1E48B910" w:rsidR="00244745" w:rsidRPr="009D52D0" w:rsidRDefault="00244745" w:rsidP="00636058">
            <w:pPr>
              <w:spacing w:after="120"/>
              <w:ind w:right="543"/>
              <w:rPr>
                <w:rFonts w:ascii="Arial" w:hAnsi="Arial" w:cs="Arial"/>
                <w:b/>
                <w:sz w:val="20"/>
                <w:szCs w:val="20"/>
              </w:rPr>
            </w:pPr>
            <w:r>
              <w:rPr>
                <w:rFonts w:ascii="Arial" w:hAnsi="Arial" w:cs="Arial"/>
                <w:b/>
                <w:sz w:val="20"/>
                <w:szCs w:val="20"/>
              </w:rPr>
              <w:t>X</w:t>
            </w:r>
          </w:p>
        </w:tc>
      </w:tr>
    </w:tbl>
    <w:p w14:paraId="172848FA" w14:textId="39E7AE7D" w:rsidR="00636058" w:rsidRDefault="00636058" w:rsidP="009D52D0">
      <w:pPr>
        <w:spacing w:after="120" w:line="240" w:lineRule="auto"/>
        <w:ind w:left="426" w:right="543"/>
        <w:rPr>
          <w:rFonts w:ascii="Arial" w:hAnsi="Arial" w:cs="Arial"/>
          <w:b/>
          <w:iCs/>
          <w:sz w:val="24"/>
          <w:szCs w:val="24"/>
        </w:rPr>
      </w:pPr>
    </w:p>
    <w:p w14:paraId="081DBD04" w14:textId="77E9007E" w:rsidR="00636058" w:rsidRDefault="00636058" w:rsidP="009D52D0">
      <w:pPr>
        <w:spacing w:after="120" w:line="240" w:lineRule="auto"/>
        <w:ind w:left="426" w:right="543"/>
        <w:rPr>
          <w:rFonts w:ascii="Arial" w:hAnsi="Arial" w:cs="Arial"/>
          <w:b/>
          <w:iCs/>
          <w:sz w:val="24"/>
          <w:szCs w:val="24"/>
        </w:rPr>
      </w:pPr>
    </w:p>
    <w:p w14:paraId="40C4CAE6" w14:textId="58A8AD66" w:rsidR="00636058" w:rsidRDefault="00636058" w:rsidP="009D52D0">
      <w:pPr>
        <w:spacing w:after="120" w:line="240" w:lineRule="auto"/>
        <w:ind w:left="426" w:right="543"/>
        <w:rPr>
          <w:rFonts w:ascii="Arial" w:hAnsi="Arial" w:cs="Arial"/>
          <w:b/>
          <w:iCs/>
          <w:sz w:val="24"/>
          <w:szCs w:val="24"/>
        </w:rPr>
      </w:pPr>
    </w:p>
    <w:p w14:paraId="5A1105B5" w14:textId="5A14E0EC" w:rsidR="00636058" w:rsidRDefault="00636058" w:rsidP="009D52D0">
      <w:pPr>
        <w:spacing w:after="120" w:line="240" w:lineRule="auto"/>
        <w:ind w:left="426" w:right="543"/>
        <w:rPr>
          <w:rFonts w:ascii="Arial" w:hAnsi="Arial" w:cs="Arial"/>
          <w:b/>
          <w:iCs/>
          <w:sz w:val="24"/>
          <w:szCs w:val="24"/>
        </w:rPr>
      </w:pPr>
    </w:p>
    <w:p w14:paraId="6E059459" w14:textId="671919A2" w:rsidR="00636058" w:rsidRDefault="00636058" w:rsidP="009D52D0">
      <w:pPr>
        <w:spacing w:after="120" w:line="240" w:lineRule="auto"/>
        <w:ind w:left="426" w:right="543"/>
        <w:rPr>
          <w:rFonts w:ascii="Arial" w:hAnsi="Arial" w:cs="Arial"/>
          <w:b/>
          <w:iCs/>
          <w:sz w:val="24"/>
          <w:szCs w:val="24"/>
        </w:rPr>
      </w:pPr>
    </w:p>
    <w:p w14:paraId="48F94D11" w14:textId="1F0E70A0" w:rsidR="00636058" w:rsidRDefault="00636058" w:rsidP="009D52D0">
      <w:pPr>
        <w:spacing w:after="120" w:line="240" w:lineRule="auto"/>
        <w:ind w:left="426" w:right="543"/>
        <w:rPr>
          <w:rFonts w:ascii="Arial" w:hAnsi="Arial" w:cs="Arial"/>
          <w:b/>
          <w:iCs/>
          <w:sz w:val="24"/>
          <w:szCs w:val="24"/>
        </w:rPr>
      </w:pPr>
    </w:p>
    <w:p w14:paraId="08036FBD" w14:textId="06E24F53" w:rsidR="00636058" w:rsidRDefault="00636058" w:rsidP="009D52D0">
      <w:pPr>
        <w:spacing w:after="120" w:line="240" w:lineRule="auto"/>
        <w:ind w:left="426" w:right="543"/>
        <w:rPr>
          <w:rFonts w:ascii="Arial" w:hAnsi="Arial" w:cs="Arial"/>
          <w:b/>
          <w:iCs/>
          <w:sz w:val="24"/>
          <w:szCs w:val="24"/>
        </w:rPr>
      </w:pPr>
    </w:p>
    <w:p w14:paraId="3309D654" w14:textId="77777777" w:rsidR="00636058" w:rsidRDefault="00636058" w:rsidP="009D52D0">
      <w:pPr>
        <w:spacing w:after="120" w:line="240" w:lineRule="auto"/>
        <w:ind w:left="426" w:right="543"/>
        <w:rPr>
          <w:rFonts w:ascii="Arial" w:hAnsi="Arial" w:cs="Arial"/>
          <w:b/>
          <w:iCs/>
          <w:sz w:val="24"/>
          <w:szCs w:val="24"/>
        </w:rPr>
      </w:pPr>
    </w:p>
    <w:p w14:paraId="03283DDF" w14:textId="77777777" w:rsidR="00883204" w:rsidRPr="009D52D0" w:rsidRDefault="00883204" w:rsidP="00072357">
      <w:pPr>
        <w:pStyle w:val="Heading2"/>
        <w:rPr>
          <w:iCs/>
        </w:rPr>
      </w:pPr>
      <w:r w:rsidRPr="009D52D0">
        <w:t xml:space="preserve">Inclusive module design </w:t>
      </w:r>
    </w:p>
    <w:p w14:paraId="39DA4ADC" w14:textId="281BB997" w:rsidR="00883204" w:rsidRPr="009D52D0" w:rsidRDefault="00883204" w:rsidP="009D52D0">
      <w:pPr>
        <w:autoSpaceDE w:val="0"/>
        <w:autoSpaceDN w:val="0"/>
        <w:adjustRightInd w:val="0"/>
        <w:spacing w:after="120" w:line="240" w:lineRule="auto"/>
        <w:ind w:left="567" w:right="543"/>
        <w:jc w:val="both"/>
        <w:rPr>
          <w:rFonts w:ascii="Arial" w:hAnsi="Arial" w:cs="Arial"/>
          <w:sz w:val="24"/>
          <w:szCs w:val="24"/>
        </w:rPr>
      </w:pPr>
      <w:r w:rsidRPr="009D52D0">
        <w:rPr>
          <w:rFonts w:ascii="Arial" w:hAnsi="Arial" w:cs="Arial"/>
          <w:sz w:val="24"/>
          <w:szCs w:val="24"/>
        </w:rPr>
        <w:t xml:space="preserve">The </w:t>
      </w:r>
      <w:r w:rsidR="007A49C1" w:rsidRPr="009D52D0">
        <w:rPr>
          <w:rFonts w:ascii="Arial" w:hAnsi="Arial" w:cs="Arial"/>
          <w:sz w:val="24"/>
          <w:szCs w:val="24"/>
        </w:rPr>
        <w:t>Division</w:t>
      </w:r>
      <w:r w:rsidRPr="009D52D0">
        <w:rPr>
          <w:rFonts w:ascii="Arial" w:hAnsi="Arial" w:cs="Arial"/>
          <w:sz w:val="24"/>
          <w:szCs w:val="24"/>
        </w:rPr>
        <w:t xml:space="preserve"> recognises and has embedded the expectations of current equality legislation, by ensuring that the module is as accessible as possible by design. Additional alternative arrangements for students with Inclusive Learning Plans (ILPs)/declared disabilities will be made on an individual basis, in consultation with the relevant policies and support services.</w:t>
      </w:r>
    </w:p>
    <w:p w14:paraId="0676B245" w14:textId="77777777" w:rsidR="00883204" w:rsidRPr="009D52D0" w:rsidRDefault="00883204" w:rsidP="009D52D0">
      <w:pPr>
        <w:autoSpaceDE w:val="0"/>
        <w:autoSpaceDN w:val="0"/>
        <w:adjustRightInd w:val="0"/>
        <w:spacing w:after="120" w:line="240" w:lineRule="auto"/>
        <w:ind w:left="567" w:right="543"/>
        <w:jc w:val="both"/>
        <w:rPr>
          <w:rFonts w:ascii="Arial" w:hAnsi="Arial" w:cs="Arial"/>
          <w:sz w:val="24"/>
          <w:szCs w:val="24"/>
        </w:rPr>
      </w:pPr>
      <w:r w:rsidRPr="009D52D0">
        <w:rPr>
          <w:rFonts w:ascii="Arial" w:hAnsi="Arial" w:cs="Arial"/>
          <w:sz w:val="24"/>
          <w:szCs w:val="24"/>
        </w:rPr>
        <w:t>The inclusive practices in the guidance (see Annex B Appendix A) have been considered in order to support all students in the following areas:</w:t>
      </w:r>
    </w:p>
    <w:p w14:paraId="12A1AB1B" w14:textId="77777777" w:rsidR="00883204" w:rsidRPr="009D52D0" w:rsidRDefault="00883204" w:rsidP="009D52D0">
      <w:pPr>
        <w:autoSpaceDE w:val="0"/>
        <w:autoSpaceDN w:val="0"/>
        <w:adjustRightInd w:val="0"/>
        <w:spacing w:after="120" w:line="240" w:lineRule="auto"/>
        <w:ind w:left="567" w:right="543"/>
        <w:jc w:val="both"/>
        <w:rPr>
          <w:rFonts w:ascii="Arial" w:hAnsi="Arial" w:cs="Arial"/>
          <w:bCs/>
          <w:sz w:val="24"/>
          <w:szCs w:val="24"/>
        </w:rPr>
      </w:pPr>
      <w:r w:rsidRPr="009D52D0">
        <w:rPr>
          <w:rFonts w:ascii="Arial" w:hAnsi="Arial" w:cs="Arial"/>
          <w:sz w:val="24"/>
          <w:szCs w:val="24"/>
        </w:rPr>
        <w:t xml:space="preserve">a) </w:t>
      </w:r>
      <w:r w:rsidRPr="009D52D0">
        <w:rPr>
          <w:rFonts w:ascii="Arial" w:hAnsi="Arial" w:cs="Arial"/>
          <w:bCs/>
          <w:sz w:val="24"/>
          <w:szCs w:val="24"/>
        </w:rPr>
        <w:t>Accessible resources and curriculum</w:t>
      </w:r>
    </w:p>
    <w:p w14:paraId="5F2DDA76" w14:textId="77777777" w:rsidR="00883204" w:rsidRPr="009D52D0" w:rsidRDefault="00883204" w:rsidP="009D52D0">
      <w:pPr>
        <w:tabs>
          <w:tab w:val="left" w:pos="567"/>
        </w:tabs>
        <w:autoSpaceDE w:val="0"/>
        <w:autoSpaceDN w:val="0"/>
        <w:adjustRightInd w:val="0"/>
        <w:spacing w:after="120" w:line="240" w:lineRule="auto"/>
        <w:ind w:left="567" w:right="543"/>
        <w:jc w:val="both"/>
        <w:rPr>
          <w:rFonts w:ascii="Arial" w:hAnsi="Arial" w:cs="Arial"/>
          <w:color w:val="000000"/>
          <w:sz w:val="24"/>
          <w:szCs w:val="24"/>
        </w:rPr>
      </w:pPr>
      <w:r w:rsidRPr="009D52D0">
        <w:rPr>
          <w:rFonts w:ascii="Arial" w:hAnsi="Arial" w:cs="Arial"/>
          <w:sz w:val="24"/>
          <w:szCs w:val="24"/>
        </w:rPr>
        <w:t xml:space="preserve">b) </w:t>
      </w:r>
      <w:r w:rsidRPr="009D52D0">
        <w:rPr>
          <w:rFonts w:ascii="Arial" w:hAnsi="Arial" w:cs="Arial"/>
          <w:bCs/>
          <w:sz w:val="24"/>
          <w:szCs w:val="24"/>
        </w:rPr>
        <w:t>Learning</w:t>
      </w:r>
      <w:r w:rsidR="00BB2045" w:rsidRPr="009D52D0">
        <w:rPr>
          <w:rFonts w:ascii="Arial" w:hAnsi="Arial" w:cs="Arial"/>
          <w:bCs/>
          <w:sz w:val="24"/>
          <w:szCs w:val="24"/>
        </w:rPr>
        <w:t>,</w:t>
      </w:r>
      <w:r w:rsidRPr="009D52D0">
        <w:rPr>
          <w:rFonts w:ascii="Arial" w:hAnsi="Arial" w:cs="Arial"/>
          <w:bCs/>
          <w:sz w:val="24"/>
          <w:szCs w:val="24"/>
        </w:rPr>
        <w:t xml:space="preserve"> teaching and assessment methods</w:t>
      </w:r>
    </w:p>
    <w:p w14:paraId="7D22CEC9" w14:textId="77777777" w:rsidR="00883204" w:rsidRPr="009D52D0" w:rsidRDefault="00883204" w:rsidP="009D52D0">
      <w:pPr>
        <w:spacing w:after="120" w:line="240" w:lineRule="auto"/>
        <w:ind w:left="567" w:right="543"/>
        <w:rPr>
          <w:rFonts w:ascii="Arial" w:hAnsi="Arial" w:cs="Arial"/>
          <w:i/>
          <w:iCs/>
          <w:sz w:val="24"/>
          <w:szCs w:val="24"/>
        </w:rPr>
      </w:pPr>
    </w:p>
    <w:p w14:paraId="01B2A0D7" w14:textId="77777777" w:rsidR="009A2D37" w:rsidRPr="009D52D0" w:rsidRDefault="00883204" w:rsidP="00072357">
      <w:pPr>
        <w:pStyle w:val="Heading2"/>
      </w:pPr>
      <w:proofErr w:type="gramStart"/>
      <w:r w:rsidRPr="009D52D0">
        <w:t>Campus(</w:t>
      </w:r>
      <w:proofErr w:type="spellStart"/>
      <w:proofErr w:type="gramEnd"/>
      <w:r w:rsidRPr="009D52D0">
        <w:t>es</w:t>
      </w:r>
      <w:proofErr w:type="spellEnd"/>
      <w:r w:rsidRPr="009D52D0">
        <w:t>) or c</w:t>
      </w:r>
      <w:r w:rsidR="009A2D37" w:rsidRPr="009D52D0">
        <w:t>entre(s)</w:t>
      </w:r>
      <w:r w:rsidRPr="009D52D0">
        <w:t xml:space="preserve"> where module will be delivered</w:t>
      </w:r>
    </w:p>
    <w:p w14:paraId="3CD0FF38" w14:textId="1A34DA74" w:rsidR="009A2D37" w:rsidRDefault="002A1D60" w:rsidP="00A86D74">
      <w:pPr>
        <w:spacing w:after="120" w:line="240" w:lineRule="auto"/>
        <w:ind w:left="720" w:right="543"/>
        <w:rPr>
          <w:rFonts w:ascii="Arial" w:hAnsi="Arial" w:cs="Arial"/>
          <w:sz w:val="24"/>
          <w:szCs w:val="24"/>
        </w:rPr>
      </w:pPr>
      <w:r>
        <w:rPr>
          <w:rFonts w:ascii="Arial" w:hAnsi="Arial" w:cs="Arial"/>
          <w:sz w:val="24"/>
          <w:szCs w:val="24"/>
        </w:rPr>
        <w:t>Canterbury</w:t>
      </w:r>
    </w:p>
    <w:p w14:paraId="38DBDA25" w14:textId="77777777" w:rsidR="008D4447" w:rsidRPr="008D4447" w:rsidRDefault="008D4447" w:rsidP="009D52D0">
      <w:pPr>
        <w:spacing w:after="120" w:line="240" w:lineRule="auto"/>
        <w:ind w:left="426" w:right="543"/>
        <w:rPr>
          <w:rFonts w:ascii="Arial" w:hAnsi="Arial" w:cs="Arial"/>
          <w:iCs/>
          <w:sz w:val="24"/>
          <w:szCs w:val="24"/>
        </w:rPr>
      </w:pPr>
    </w:p>
    <w:p w14:paraId="654C7CE7" w14:textId="77777777" w:rsidR="00883204" w:rsidRPr="009D52D0" w:rsidRDefault="00883204" w:rsidP="00072357">
      <w:pPr>
        <w:pStyle w:val="Heading2"/>
      </w:pPr>
      <w:r w:rsidRPr="009D52D0">
        <w:t xml:space="preserve">Internationalisation </w:t>
      </w:r>
    </w:p>
    <w:p w14:paraId="4260A45A" w14:textId="462A78D6" w:rsidR="00922E9E" w:rsidRDefault="002A1D60" w:rsidP="00A86D74">
      <w:pPr>
        <w:spacing w:after="120" w:line="240" w:lineRule="auto"/>
        <w:ind w:left="720" w:right="543"/>
        <w:rPr>
          <w:rFonts w:ascii="Arial" w:hAnsi="Arial" w:cs="Arial"/>
          <w:sz w:val="24"/>
          <w:szCs w:val="24"/>
        </w:rPr>
      </w:pPr>
      <w:r w:rsidRPr="002A1D60">
        <w:rPr>
          <w:rFonts w:ascii="Arial" w:hAnsi="Arial" w:cs="Arial"/>
          <w:sz w:val="24"/>
          <w:szCs w:val="24"/>
        </w:rPr>
        <w:t>The reading list is inherently trans</w:t>
      </w:r>
      <w:r>
        <w:rPr>
          <w:rFonts w:ascii="Arial" w:hAnsi="Arial" w:cs="Arial"/>
          <w:sz w:val="24"/>
          <w:szCs w:val="24"/>
        </w:rPr>
        <w:t>national</w:t>
      </w:r>
      <w:r w:rsidRPr="002A1D60">
        <w:rPr>
          <w:rFonts w:ascii="Arial" w:hAnsi="Arial" w:cs="Arial"/>
          <w:sz w:val="24"/>
          <w:szCs w:val="24"/>
        </w:rPr>
        <w:t xml:space="preserve"> and incorporates </w:t>
      </w:r>
      <w:r>
        <w:rPr>
          <w:rFonts w:ascii="Arial" w:hAnsi="Arial" w:cs="Arial"/>
          <w:sz w:val="24"/>
          <w:szCs w:val="24"/>
        </w:rPr>
        <w:t>literatures from around the world, including Britain, Europe, and Latin America</w:t>
      </w:r>
      <w:r w:rsidRPr="002A1D60">
        <w:rPr>
          <w:rFonts w:ascii="Arial" w:hAnsi="Arial" w:cs="Arial"/>
          <w:sz w:val="24"/>
          <w:szCs w:val="24"/>
        </w:rPr>
        <w:t xml:space="preserve">. In addition to seminar discussions and assignments, it promotes intercultural competence and an understanding of cultural </w:t>
      </w:r>
      <w:r>
        <w:rPr>
          <w:rFonts w:ascii="Arial" w:hAnsi="Arial" w:cs="Arial"/>
          <w:sz w:val="24"/>
          <w:szCs w:val="24"/>
        </w:rPr>
        <w:t>difference.</w:t>
      </w:r>
    </w:p>
    <w:p w14:paraId="108DE2E5" w14:textId="77777777" w:rsidR="008D4447" w:rsidRPr="008D4447" w:rsidRDefault="008D4447" w:rsidP="009D52D0">
      <w:pPr>
        <w:spacing w:after="120" w:line="240" w:lineRule="auto"/>
        <w:ind w:left="426" w:right="543"/>
        <w:rPr>
          <w:rFonts w:ascii="Arial" w:hAnsi="Arial" w:cs="Arial"/>
          <w:iCs/>
          <w:sz w:val="24"/>
          <w:szCs w:val="24"/>
        </w:rPr>
      </w:pPr>
    </w:p>
    <w:p w14:paraId="36C1544F" w14:textId="77777777" w:rsidR="00641D6D" w:rsidRPr="009D52D0" w:rsidRDefault="00641D6D" w:rsidP="009D52D0">
      <w:pPr>
        <w:pBdr>
          <w:bottom w:val="single" w:sz="6" w:space="1" w:color="auto"/>
        </w:pBdr>
        <w:spacing w:after="120" w:line="240" w:lineRule="auto"/>
        <w:ind w:right="543"/>
        <w:rPr>
          <w:rFonts w:ascii="Arial" w:hAnsi="Arial" w:cs="Arial"/>
          <w:sz w:val="24"/>
          <w:szCs w:val="24"/>
        </w:rPr>
      </w:pPr>
    </w:p>
    <w:p w14:paraId="31CC2DF2" w14:textId="77777777" w:rsidR="00441E76" w:rsidRPr="009D52D0" w:rsidRDefault="009F5EA4" w:rsidP="009D52D0">
      <w:pPr>
        <w:spacing w:after="120" w:line="240" w:lineRule="auto"/>
        <w:ind w:right="543"/>
        <w:rPr>
          <w:rFonts w:ascii="Arial" w:hAnsi="Arial" w:cs="Arial"/>
          <w:b/>
          <w:sz w:val="24"/>
          <w:szCs w:val="24"/>
        </w:rPr>
      </w:pPr>
      <w:r>
        <w:rPr>
          <w:rFonts w:ascii="Arial" w:hAnsi="Arial" w:cs="Arial"/>
          <w:b/>
          <w:sz w:val="24"/>
          <w:szCs w:val="24"/>
        </w:rPr>
        <w:t xml:space="preserve">DIVISIONAL </w:t>
      </w:r>
      <w:r w:rsidR="00441E76" w:rsidRPr="009D52D0">
        <w:rPr>
          <w:rFonts w:ascii="Arial" w:hAnsi="Arial" w:cs="Arial"/>
          <w:b/>
          <w:sz w:val="24"/>
          <w:szCs w:val="24"/>
        </w:rPr>
        <w:t>USE ONLY</w:t>
      </w:r>
      <w:r w:rsidR="00C612A8" w:rsidRPr="009D52D0">
        <w:rPr>
          <w:rFonts w:ascii="Arial" w:hAnsi="Arial" w:cs="Arial"/>
          <w:b/>
          <w:sz w:val="24"/>
          <w:szCs w:val="24"/>
        </w:rPr>
        <w:t xml:space="preserve"> </w:t>
      </w:r>
    </w:p>
    <w:p w14:paraId="010B6F31" w14:textId="359B19D8" w:rsidR="00D83563" w:rsidRPr="009D52D0" w:rsidRDefault="00E1736E" w:rsidP="009D52D0">
      <w:pPr>
        <w:spacing w:after="120" w:line="240" w:lineRule="auto"/>
        <w:ind w:right="543"/>
        <w:rPr>
          <w:rFonts w:ascii="Arial" w:hAnsi="Arial" w:cs="Arial"/>
          <w:b/>
          <w:sz w:val="24"/>
          <w:szCs w:val="24"/>
        </w:rPr>
      </w:pPr>
      <w:r>
        <w:rPr>
          <w:rFonts w:ascii="Arial" w:hAnsi="Arial" w:cs="Arial"/>
          <w:b/>
          <w:sz w:val="24"/>
          <w:szCs w:val="24"/>
        </w:rPr>
        <w:t>Module</w:t>
      </w:r>
      <w:r w:rsidRPr="009D52D0">
        <w:rPr>
          <w:rFonts w:ascii="Arial" w:hAnsi="Arial" w:cs="Arial"/>
          <w:b/>
          <w:sz w:val="24"/>
          <w:szCs w:val="24"/>
        </w:rPr>
        <w:t xml:space="preserve"> </w:t>
      </w:r>
      <w:r w:rsidR="00D83563" w:rsidRPr="009D52D0">
        <w:rPr>
          <w:rFonts w:ascii="Arial" w:hAnsi="Arial" w:cs="Arial"/>
          <w:b/>
          <w:sz w:val="24"/>
          <w:szCs w:val="24"/>
        </w:rPr>
        <w:t>record – all revisions must be recorded in the grid and full details of the change retained in the appropriate committee records.</w:t>
      </w:r>
    </w:p>
    <w:p w14:paraId="2EB548D9" w14:textId="77777777" w:rsidR="00422B69" w:rsidRPr="009D52D0" w:rsidRDefault="00422B69" w:rsidP="009D52D0">
      <w:pPr>
        <w:spacing w:after="120" w:line="240" w:lineRule="auto"/>
        <w:ind w:right="543"/>
        <w:rPr>
          <w:rFonts w:ascii="Arial" w:hAnsi="Arial" w:cs="Arial"/>
          <w:b/>
          <w:sz w:val="24"/>
          <w:szCs w:val="24"/>
        </w:rPr>
      </w:pPr>
    </w:p>
    <w:tbl>
      <w:tblPr>
        <w:tblStyle w:val="TableGrid"/>
        <w:tblW w:w="10682" w:type="dxa"/>
        <w:tblLook w:val="04A0" w:firstRow="1" w:lastRow="0" w:firstColumn="1" w:lastColumn="0" w:noHBand="0" w:noVBand="1"/>
      </w:tblPr>
      <w:tblGrid>
        <w:gridCol w:w="1593"/>
        <w:gridCol w:w="2271"/>
        <w:gridCol w:w="1896"/>
        <w:gridCol w:w="2246"/>
        <w:gridCol w:w="2676"/>
      </w:tblGrid>
      <w:tr w:rsidR="00302082" w:rsidRPr="009D52D0" w14:paraId="52814657" w14:textId="77777777" w:rsidTr="00011DDD">
        <w:trPr>
          <w:trHeight w:val="317"/>
          <w:tblHeader/>
        </w:trPr>
        <w:tc>
          <w:tcPr>
            <w:tcW w:w="1593" w:type="dxa"/>
          </w:tcPr>
          <w:p w14:paraId="7BB88073" w14:textId="77777777" w:rsidR="00422B69" w:rsidRPr="009D52D0" w:rsidRDefault="00422B69" w:rsidP="009D52D0">
            <w:pPr>
              <w:spacing w:after="120"/>
              <w:ind w:right="543"/>
              <w:rPr>
                <w:rFonts w:ascii="Arial" w:hAnsi="Arial" w:cs="Arial"/>
                <w:sz w:val="20"/>
                <w:szCs w:val="20"/>
              </w:rPr>
            </w:pPr>
            <w:r w:rsidRPr="009D52D0">
              <w:rPr>
                <w:rFonts w:ascii="Arial" w:hAnsi="Arial" w:cs="Arial"/>
                <w:sz w:val="20"/>
                <w:szCs w:val="20"/>
              </w:rPr>
              <w:t>Date approved</w:t>
            </w:r>
          </w:p>
        </w:tc>
        <w:tc>
          <w:tcPr>
            <w:tcW w:w="1815" w:type="dxa"/>
          </w:tcPr>
          <w:p w14:paraId="7024BC64" w14:textId="1E59354C" w:rsidR="00422B69" w:rsidRPr="009D52D0" w:rsidRDefault="00E1736E" w:rsidP="009D52D0">
            <w:pPr>
              <w:spacing w:after="120"/>
              <w:ind w:right="543"/>
              <w:rPr>
                <w:rFonts w:ascii="Arial" w:hAnsi="Arial" w:cs="Arial"/>
                <w:sz w:val="20"/>
                <w:szCs w:val="20"/>
              </w:rPr>
            </w:pPr>
            <w:r>
              <w:rPr>
                <w:rFonts w:ascii="Arial" w:hAnsi="Arial" w:cs="Arial"/>
                <w:sz w:val="20"/>
                <w:szCs w:val="20"/>
              </w:rPr>
              <w:t>New/</w:t>
            </w:r>
            <w:r w:rsidR="00422B69" w:rsidRPr="009D52D0">
              <w:rPr>
                <w:rFonts w:ascii="Arial" w:hAnsi="Arial" w:cs="Arial"/>
                <w:sz w:val="20"/>
                <w:szCs w:val="20"/>
              </w:rPr>
              <w:t>Major/minor revision</w:t>
            </w:r>
          </w:p>
        </w:tc>
        <w:tc>
          <w:tcPr>
            <w:tcW w:w="1974" w:type="dxa"/>
          </w:tcPr>
          <w:p w14:paraId="4C5C2D42" w14:textId="40DC1BDF" w:rsidR="00422B69" w:rsidRPr="009D52D0" w:rsidRDefault="00422B69" w:rsidP="009D52D0">
            <w:pPr>
              <w:spacing w:after="120"/>
              <w:ind w:right="543"/>
              <w:rPr>
                <w:rFonts w:ascii="Arial" w:hAnsi="Arial" w:cs="Arial"/>
                <w:sz w:val="20"/>
                <w:szCs w:val="20"/>
              </w:rPr>
            </w:pPr>
            <w:r w:rsidRPr="009D52D0">
              <w:rPr>
                <w:rFonts w:ascii="Arial" w:hAnsi="Arial" w:cs="Arial"/>
                <w:sz w:val="20"/>
                <w:szCs w:val="20"/>
              </w:rPr>
              <w:t>Start date of</w:t>
            </w:r>
            <w:r w:rsidR="00710647" w:rsidRPr="009D52D0">
              <w:rPr>
                <w:rFonts w:ascii="Arial" w:hAnsi="Arial" w:cs="Arial"/>
                <w:sz w:val="20"/>
                <w:szCs w:val="20"/>
              </w:rPr>
              <w:t xml:space="preserve"> delivery of </w:t>
            </w:r>
            <w:r w:rsidR="00E1736E">
              <w:rPr>
                <w:rFonts w:ascii="Arial" w:hAnsi="Arial" w:cs="Arial"/>
                <w:sz w:val="20"/>
                <w:szCs w:val="20"/>
              </w:rPr>
              <w:t>(</w:t>
            </w:r>
            <w:r w:rsidRPr="009D52D0">
              <w:rPr>
                <w:rFonts w:ascii="Arial" w:hAnsi="Arial" w:cs="Arial"/>
                <w:sz w:val="20"/>
                <w:szCs w:val="20"/>
              </w:rPr>
              <w:t>revised</w:t>
            </w:r>
            <w:r w:rsidR="00E1736E">
              <w:rPr>
                <w:rFonts w:ascii="Arial" w:hAnsi="Arial" w:cs="Arial"/>
                <w:sz w:val="20"/>
                <w:szCs w:val="20"/>
              </w:rPr>
              <w:t>)</w:t>
            </w:r>
            <w:r w:rsidRPr="009D52D0">
              <w:rPr>
                <w:rFonts w:ascii="Arial" w:hAnsi="Arial" w:cs="Arial"/>
                <w:sz w:val="20"/>
                <w:szCs w:val="20"/>
              </w:rPr>
              <w:t xml:space="preserve"> version</w:t>
            </w:r>
          </w:p>
        </w:tc>
        <w:tc>
          <w:tcPr>
            <w:tcW w:w="2359" w:type="dxa"/>
          </w:tcPr>
          <w:p w14:paraId="6BA91A4B" w14:textId="77777777" w:rsidR="00422B69" w:rsidRDefault="00422B69" w:rsidP="009D52D0">
            <w:pPr>
              <w:spacing w:after="120"/>
              <w:ind w:right="543"/>
              <w:rPr>
                <w:rFonts w:ascii="Arial" w:hAnsi="Arial" w:cs="Arial"/>
                <w:sz w:val="20"/>
                <w:szCs w:val="20"/>
              </w:rPr>
            </w:pPr>
            <w:r w:rsidRPr="009D52D0">
              <w:rPr>
                <w:rFonts w:ascii="Arial" w:hAnsi="Arial" w:cs="Arial"/>
                <w:sz w:val="20"/>
                <w:szCs w:val="20"/>
              </w:rPr>
              <w:t>Section revised</w:t>
            </w:r>
          </w:p>
          <w:p w14:paraId="07410A3B" w14:textId="288B4C2F" w:rsidR="00E1736E" w:rsidRPr="009D52D0" w:rsidRDefault="00E1736E" w:rsidP="009D52D0">
            <w:pPr>
              <w:spacing w:after="120"/>
              <w:ind w:right="543"/>
              <w:rPr>
                <w:rFonts w:ascii="Arial" w:hAnsi="Arial" w:cs="Arial"/>
                <w:sz w:val="20"/>
                <w:szCs w:val="20"/>
              </w:rPr>
            </w:pPr>
            <w:r>
              <w:rPr>
                <w:rFonts w:ascii="Arial" w:hAnsi="Arial" w:cs="Arial"/>
                <w:sz w:val="20"/>
                <w:szCs w:val="20"/>
              </w:rPr>
              <w:t>(if applicable)</w:t>
            </w:r>
          </w:p>
        </w:tc>
        <w:tc>
          <w:tcPr>
            <w:tcW w:w="2941" w:type="dxa"/>
          </w:tcPr>
          <w:p w14:paraId="65323753" w14:textId="77777777" w:rsidR="00422B69" w:rsidRPr="009D52D0" w:rsidRDefault="00422B69" w:rsidP="009D52D0">
            <w:pPr>
              <w:spacing w:after="120"/>
              <w:ind w:right="543"/>
              <w:rPr>
                <w:rFonts w:ascii="Arial" w:hAnsi="Arial" w:cs="Arial"/>
                <w:sz w:val="20"/>
                <w:szCs w:val="20"/>
              </w:rPr>
            </w:pPr>
            <w:r w:rsidRPr="009D52D0">
              <w:rPr>
                <w:rFonts w:ascii="Arial" w:hAnsi="Arial" w:cs="Arial"/>
                <w:sz w:val="20"/>
                <w:szCs w:val="20"/>
              </w:rPr>
              <w:t>Impacts PLOs</w:t>
            </w:r>
            <w:r w:rsidR="00694309" w:rsidRPr="009D52D0">
              <w:rPr>
                <w:rFonts w:ascii="Arial" w:hAnsi="Arial" w:cs="Arial"/>
                <w:sz w:val="20"/>
                <w:szCs w:val="20"/>
              </w:rPr>
              <w:t xml:space="preserve"> (</w:t>
            </w:r>
            <w:r w:rsidR="001A425B" w:rsidRPr="009D52D0">
              <w:rPr>
                <w:rFonts w:ascii="Arial" w:hAnsi="Arial" w:cs="Arial"/>
                <w:sz w:val="20"/>
                <w:szCs w:val="20"/>
              </w:rPr>
              <w:t>Q6&amp;7 cover sheet)</w:t>
            </w:r>
          </w:p>
        </w:tc>
      </w:tr>
      <w:tr w:rsidR="00302082" w:rsidRPr="009D52D0" w14:paraId="29EF87B4" w14:textId="77777777" w:rsidTr="00A13526">
        <w:trPr>
          <w:trHeight w:val="305"/>
        </w:trPr>
        <w:tc>
          <w:tcPr>
            <w:tcW w:w="1593" w:type="dxa"/>
          </w:tcPr>
          <w:p w14:paraId="4474539E" w14:textId="50A67979" w:rsidR="00422B69" w:rsidRPr="009D52D0" w:rsidRDefault="00B02337" w:rsidP="009D52D0">
            <w:pPr>
              <w:spacing w:after="120"/>
              <w:ind w:right="543"/>
              <w:rPr>
                <w:rFonts w:ascii="Arial" w:hAnsi="Arial" w:cs="Arial"/>
                <w:sz w:val="20"/>
                <w:szCs w:val="20"/>
              </w:rPr>
            </w:pPr>
            <w:r>
              <w:rPr>
                <w:rFonts w:ascii="Arial" w:hAnsi="Arial" w:cs="Arial"/>
                <w:sz w:val="20"/>
                <w:szCs w:val="20"/>
              </w:rPr>
              <w:t>21/12/21</w:t>
            </w:r>
          </w:p>
        </w:tc>
        <w:tc>
          <w:tcPr>
            <w:tcW w:w="1815" w:type="dxa"/>
          </w:tcPr>
          <w:p w14:paraId="3DB8B056" w14:textId="73BFFA3D" w:rsidR="00422B69" w:rsidRPr="009D52D0" w:rsidRDefault="00A86D74" w:rsidP="009D52D0">
            <w:pPr>
              <w:spacing w:after="120"/>
              <w:ind w:right="543"/>
              <w:rPr>
                <w:rFonts w:ascii="Arial" w:hAnsi="Arial" w:cs="Arial"/>
                <w:sz w:val="20"/>
                <w:szCs w:val="20"/>
              </w:rPr>
            </w:pPr>
            <w:r>
              <w:rPr>
                <w:rFonts w:ascii="Arial" w:hAnsi="Arial" w:cs="Arial"/>
                <w:sz w:val="20"/>
                <w:szCs w:val="20"/>
              </w:rPr>
              <w:t>New</w:t>
            </w:r>
          </w:p>
        </w:tc>
        <w:tc>
          <w:tcPr>
            <w:tcW w:w="1974" w:type="dxa"/>
          </w:tcPr>
          <w:p w14:paraId="7151A835" w14:textId="38E2A707" w:rsidR="00422B69" w:rsidRPr="009D52D0" w:rsidRDefault="00B02337" w:rsidP="009D52D0">
            <w:pPr>
              <w:spacing w:after="120"/>
              <w:ind w:right="543"/>
              <w:rPr>
                <w:rFonts w:ascii="Arial" w:hAnsi="Arial" w:cs="Arial"/>
                <w:sz w:val="20"/>
                <w:szCs w:val="20"/>
              </w:rPr>
            </w:pPr>
            <w:r>
              <w:rPr>
                <w:rFonts w:ascii="Arial" w:hAnsi="Arial" w:cs="Arial"/>
                <w:sz w:val="20"/>
                <w:szCs w:val="20"/>
              </w:rPr>
              <w:t>Spring 2023</w:t>
            </w:r>
          </w:p>
        </w:tc>
        <w:tc>
          <w:tcPr>
            <w:tcW w:w="2359" w:type="dxa"/>
          </w:tcPr>
          <w:p w14:paraId="64AEF8B4" w14:textId="77777777" w:rsidR="00422B69" w:rsidRPr="009D52D0" w:rsidRDefault="00422B69" w:rsidP="009D52D0">
            <w:pPr>
              <w:spacing w:after="120"/>
              <w:ind w:right="543"/>
              <w:rPr>
                <w:rFonts w:ascii="Arial" w:hAnsi="Arial" w:cs="Arial"/>
                <w:sz w:val="20"/>
                <w:szCs w:val="20"/>
              </w:rPr>
            </w:pPr>
          </w:p>
        </w:tc>
        <w:tc>
          <w:tcPr>
            <w:tcW w:w="2941" w:type="dxa"/>
          </w:tcPr>
          <w:p w14:paraId="2788108C" w14:textId="77777777" w:rsidR="00422B69" w:rsidRPr="009D52D0" w:rsidRDefault="00422B69" w:rsidP="009D52D0">
            <w:pPr>
              <w:spacing w:after="120"/>
              <w:ind w:right="543"/>
              <w:rPr>
                <w:rFonts w:ascii="Arial" w:hAnsi="Arial" w:cs="Arial"/>
                <w:sz w:val="20"/>
                <w:szCs w:val="20"/>
              </w:rPr>
            </w:pPr>
          </w:p>
        </w:tc>
      </w:tr>
      <w:tr w:rsidR="00302082" w:rsidRPr="009D52D0" w14:paraId="1EAC1207" w14:textId="77777777" w:rsidTr="00A13526">
        <w:trPr>
          <w:trHeight w:val="305"/>
        </w:trPr>
        <w:tc>
          <w:tcPr>
            <w:tcW w:w="1593" w:type="dxa"/>
          </w:tcPr>
          <w:p w14:paraId="6535CABF" w14:textId="77777777" w:rsidR="00422B69" w:rsidRPr="009D52D0" w:rsidRDefault="00422B69" w:rsidP="009D52D0">
            <w:pPr>
              <w:spacing w:after="120"/>
              <w:ind w:right="543"/>
              <w:rPr>
                <w:rFonts w:ascii="Arial" w:hAnsi="Arial" w:cs="Arial"/>
                <w:sz w:val="20"/>
                <w:szCs w:val="20"/>
              </w:rPr>
            </w:pPr>
          </w:p>
        </w:tc>
        <w:tc>
          <w:tcPr>
            <w:tcW w:w="1815" w:type="dxa"/>
          </w:tcPr>
          <w:p w14:paraId="5BAFF0BB" w14:textId="77777777" w:rsidR="00422B69" w:rsidRPr="009D52D0" w:rsidRDefault="00422B69" w:rsidP="009D52D0">
            <w:pPr>
              <w:spacing w:after="120"/>
              <w:ind w:right="543"/>
              <w:rPr>
                <w:rFonts w:ascii="Arial" w:hAnsi="Arial" w:cs="Arial"/>
                <w:sz w:val="20"/>
                <w:szCs w:val="20"/>
              </w:rPr>
            </w:pPr>
          </w:p>
        </w:tc>
        <w:tc>
          <w:tcPr>
            <w:tcW w:w="1974" w:type="dxa"/>
          </w:tcPr>
          <w:p w14:paraId="07B30CA1" w14:textId="77777777" w:rsidR="00422B69" w:rsidRPr="009D52D0" w:rsidRDefault="00422B69" w:rsidP="009D52D0">
            <w:pPr>
              <w:spacing w:after="120"/>
              <w:ind w:right="543"/>
              <w:rPr>
                <w:rFonts w:ascii="Arial" w:hAnsi="Arial" w:cs="Arial"/>
                <w:sz w:val="20"/>
                <w:szCs w:val="20"/>
              </w:rPr>
            </w:pPr>
          </w:p>
        </w:tc>
        <w:tc>
          <w:tcPr>
            <w:tcW w:w="2359" w:type="dxa"/>
          </w:tcPr>
          <w:p w14:paraId="7AF83608" w14:textId="77777777" w:rsidR="00422B69" w:rsidRPr="009D52D0" w:rsidRDefault="00422B69" w:rsidP="009D52D0">
            <w:pPr>
              <w:spacing w:after="120"/>
              <w:ind w:right="543"/>
              <w:rPr>
                <w:rFonts w:ascii="Arial" w:hAnsi="Arial" w:cs="Arial"/>
                <w:sz w:val="20"/>
                <w:szCs w:val="20"/>
              </w:rPr>
            </w:pPr>
          </w:p>
        </w:tc>
        <w:tc>
          <w:tcPr>
            <w:tcW w:w="2941" w:type="dxa"/>
          </w:tcPr>
          <w:p w14:paraId="1F3DBDEE" w14:textId="77777777" w:rsidR="00422B69" w:rsidRPr="009D52D0" w:rsidRDefault="00422B69" w:rsidP="009D52D0">
            <w:pPr>
              <w:spacing w:after="120"/>
              <w:ind w:right="543"/>
              <w:rPr>
                <w:rFonts w:ascii="Arial" w:hAnsi="Arial" w:cs="Arial"/>
                <w:sz w:val="20"/>
                <w:szCs w:val="20"/>
              </w:rPr>
            </w:pPr>
          </w:p>
        </w:tc>
      </w:tr>
    </w:tbl>
    <w:p w14:paraId="4A3C63B8" w14:textId="77777777" w:rsidR="00D83563" w:rsidRPr="009D52D0" w:rsidRDefault="00D83563" w:rsidP="009D52D0">
      <w:pPr>
        <w:spacing w:after="120" w:line="240" w:lineRule="auto"/>
        <w:ind w:right="543"/>
        <w:rPr>
          <w:rFonts w:ascii="Arial" w:hAnsi="Arial" w:cs="Arial"/>
          <w:sz w:val="24"/>
          <w:szCs w:val="24"/>
        </w:rPr>
      </w:pPr>
    </w:p>
    <w:sectPr w:rsidR="00D83563" w:rsidRPr="009D52D0" w:rsidSect="00B02337">
      <w:headerReference w:type="default" r:id="rId9"/>
      <w:footerReference w:type="default" r:id="rId10"/>
      <w:headerReference w:type="first" r:id="rId11"/>
      <w:footerReference w:type="first" r:id="rId12"/>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96ECEF" w14:textId="77777777" w:rsidR="00B36F40" w:rsidRDefault="00B36F40" w:rsidP="009A2D37">
      <w:pPr>
        <w:spacing w:after="0" w:line="240" w:lineRule="auto"/>
      </w:pPr>
      <w:r>
        <w:separator/>
      </w:r>
    </w:p>
  </w:endnote>
  <w:endnote w:type="continuationSeparator" w:id="0">
    <w:p w14:paraId="7C7D65E6" w14:textId="77777777" w:rsidR="00B36F40" w:rsidRDefault="00B36F40" w:rsidP="009A2D37">
      <w:pPr>
        <w:spacing w:after="0" w:line="240" w:lineRule="auto"/>
      </w:pPr>
      <w:r>
        <w:continuationSeparator/>
      </w:r>
    </w:p>
  </w:endnote>
  <w:endnote w:type="continuationNotice" w:id="1">
    <w:p w14:paraId="32C15B8A" w14:textId="77777777" w:rsidR="00B36F40" w:rsidRDefault="00B36F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lantin">
    <w:altName w:val="Cambria"/>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259864"/>
      <w:docPartObj>
        <w:docPartGallery w:val="Page Numbers (Bottom of Page)"/>
        <w:docPartUnique/>
      </w:docPartObj>
    </w:sdtPr>
    <w:sdtEndPr/>
    <w:sdtContent>
      <w:p w14:paraId="5BC8183C" w14:textId="37DEB5DB" w:rsidR="008B2543" w:rsidRDefault="0019787E" w:rsidP="009A2D37">
        <w:pPr>
          <w:pStyle w:val="Footer"/>
          <w:jc w:val="center"/>
        </w:pPr>
        <w:r>
          <w:fldChar w:fldCharType="begin"/>
        </w:r>
        <w:r>
          <w:instrText xml:space="preserve"> PAGE   \* MERGEFORMAT </w:instrText>
        </w:r>
        <w:r>
          <w:fldChar w:fldCharType="separate"/>
        </w:r>
        <w:r w:rsidR="00247D89">
          <w:rPr>
            <w:noProof/>
          </w:rPr>
          <w:t>2</w:t>
        </w:r>
        <w:r>
          <w:rPr>
            <w:noProof/>
          </w:rPr>
          <w:fldChar w:fldCharType="end"/>
        </w:r>
      </w:p>
    </w:sdtContent>
  </w:sdt>
  <w:p w14:paraId="47DEBACA" w14:textId="77777777" w:rsidR="00591599" w:rsidRPr="00591599" w:rsidRDefault="00591599" w:rsidP="00591599">
    <w:pPr>
      <w:pStyle w:val="Footer"/>
      <w:jc w:val="center"/>
      <w:rPr>
        <w:sz w:val="18"/>
        <w:szCs w:val="18"/>
      </w:rPr>
    </w:pPr>
    <w:r w:rsidRPr="00591599">
      <w:rPr>
        <w:rFonts w:ascii="Arial" w:hAnsi="Arial" w:cs="Arial"/>
        <w:sz w:val="18"/>
        <w:szCs w:val="18"/>
      </w:rPr>
      <w:t>Ghosts in Literature and Film</w:t>
    </w:r>
  </w:p>
  <w:p w14:paraId="26569854" w14:textId="42440E20" w:rsidR="008B2543" w:rsidRPr="007B7724" w:rsidRDefault="008B2543" w:rsidP="007B7724">
    <w:pPr>
      <w:pStyle w:val="Footer"/>
      <w:spacing w:after="120"/>
      <w:ind w:right="-330"/>
      <w:rPr>
        <w:rFonts w:ascii="Arial" w:hAnsi="Arial"/>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0311339"/>
      <w:docPartObj>
        <w:docPartGallery w:val="Page Numbers (Bottom of Page)"/>
        <w:docPartUnique/>
      </w:docPartObj>
    </w:sdtPr>
    <w:sdtEndPr/>
    <w:sdtContent>
      <w:p w14:paraId="3F1AF40E" w14:textId="56C107A0" w:rsidR="00EB41D1" w:rsidRDefault="00EB41D1" w:rsidP="00EB41D1">
        <w:pPr>
          <w:pStyle w:val="Footer"/>
          <w:jc w:val="center"/>
        </w:pPr>
        <w:r>
          <w:fldChar w:fldCharType="begin"/>
        </w:r>
        <w:r>
          <w:instrText xml:space="preserve"> PAGE   \* MERGEFORMAT </w:instrText>
        </w:r>
        <w:r>
          <w:fldChar w:fldCharType="separate"/>
        </w:r>
        <w:r w:rsidR="00B02337">
          <w:rPr>
            <w:noProof/>
          </w:rPr>
          <w:t>1</w:t>
        </w:r>
        <w:r>
          <w:rPr>
            <w:noProof/>
          </w:rPr>
          <w:fldChar w:fldCharType="end"/>
        </w:r>
      </w:p>
    </w:sdtContent>
  </w:sdt>
  <w:p w14:paraId="24F79DDC" w14:textId="1301DAFA" w:rsidR="00F17B94" w:rsidRPr="00591599" w:rsidRDefault="00591599" w:rsidP="00591599">
    <w:pPr>
      <w:pStyle w:val="Footer"/>
      <w:jc w:val="center"/>
      <w:rPr>
        <w:sz w:val="18"/>
        <w:szCs w:val="18"/>
      </w:rPr>
    </w:pPr>
    <w:r w:rsidRPr="00591599">
      <w:rPr>
        <w:rFonts w:ascii="Arial" w:hAnsi="Arial" w:cs="Arial"/>
        <w:sz w:val="18"/>
        <w:szCs w:val="18"/>
      </w:rPr>
      <w:t>Ghosts in Literature and Film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E9A4A8" w14:textId="77777777" w:rsidR="00B36F40" w:rsidRDefault="00B36F40" w:rsidP="009A2D37">
      <w:pPr>
        <w:spacing w:after="0" w:line="240" w:lineRule="auto"/>
      </w:pPr>
      <w:r>
        <w:separator/>
      </w:r>
    </w:p>
  </w:footnote>
  <w:footnote w:type="continuationSeparator" w:id="0">
    <w:p w14:paraId="49CC9EA6" w14:textId="77777777" w:rsidR="00B36F40" w:rsidRDefault="00B36F40" w:rsidP="009A2D37">
      <w:pPr>
        <w:spacing w:after="0" w:line="240" w:lineRule="auto"/>
      </w:pPr>
      <w:r>
        <w:continuationSeparator/>
      </w:r>
    </w:p>
  </w:footnote>
  <w:footnote w:type="continuationNotice" w:id="1">
    <w:p w14:paraId="73C8617B" w14:textId="77777777" w:rsidR="00B36F40" w:rsidRDefault="00B36F4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1AAB17" w14:textId="77777777" w:rsidR="00441E76" w:rsidRPr="00B2615D" w:rsidRDefault="00441E76" w:rsidP="00B2615D">
    <w:pPr>
      <w:pStyle w:val="Heading1"/>
      <w:rPr>
        <w:rFonts w:ascii="Arial" w:hAnsi="Arial" w:cs="Arial"/>
        <w:sz w:val="28"/>
        <w:szCs w:val="28"/>
      </w:rPr>
    </w:pPr>
    <w:r w:rsidRPr="00B2615D">
      <w:rPr>
        <w:rFonts w:ascii="Arial" w:hAnsi="Arial" w:cs="Arial"/>
        <w:noProof/>
        <w:sz w:val="28"/>
        <w:szCs w:val="28"/>
        <w:lang w:eastAsia="en-GB"/>
      </w:rPr>
      <w:drawing>
        <wp:anchor distT="0" distB="0" distL="114300" distR="114300" simplePos="0" relativeHeight="251656704" behindDoc="1" locked="0" layoutInCell="1" allowOverlap="1" wp14:anchorId="51884267" wp14:editId="736857B6">
          <wp:simplePos x="0" y="0"/>
          <wp:positionH relativeFrom="column">
            <wp:posOffset>5457825</wp:posOffset>
          </wp:positionH>
          <wp:positionV relativeFrom="paragraph">
            <wp:posOffset>-156845</wp:posOffset>
          </wp:positionV>
          <wp:extent cx="1170940" cy="5905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7094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sidR="000F7FBF" w:rsidRPr="00B2615D">
      <w:rPr>
        <w:rFonts w:ascii="Arial" w:hAnsi="Arial" w:cs="Arial"/>
        <w:sz w:val="28"/>
        <w:szCs w:val="28"/>
      </w:rPr>
      <w:t>MODULE SPECIFICATION</w:t>
    </w:r>
  </w:p>
  <w:p w14:paraId="272286C5" w14:textId="77777777" w:rsidR="008B2543" w:rsidRPr="008C00F8" w:rsidRDefault="008B2543" w:rsidP="005E6D38">
    <w:pPr>
      <w:pStyle w:val="Heading1"/>
      <w:spacing w:before="60" w:after="60"/>
      <w:rPr>
        <w:rFonts w:ascii="Arial" w:hAnsi="Arial" w:cs="Arial"/>
      </w:rPr>
    </w:pPr>
  </w:p>
  <w:p w14:paraId="7298FF51" w14:textId="77777777" w:rsidR="008B2543" w:rsidRDefault="008B25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5BA62C" w14:textId="77777777" w:rsidR="000F7FBF" w:rsidRPr="0075408A" w:rsidRDefault="000F7FBF" w:rsidP="000F7FBF">
    <w:pPr>
      <w:jc w:val="center"/>
      <w:rPr>
        <w:rFonts w:ascii="Arial" w:hAnsi="Arial" w:cs="Arial"/>
        <w:b/>
        <w:sz w:val="28"/>
        <w:szCs w:val="28"/>
      </w:rPr>
    </w:pPr>
    <w:r w:rsidRPr="0075408A">
      <w:rPr>
        <w:rFonts w:ascii="Arial" w:hAnsi="Arial" w:cs="Arial"/>
        <w:b/>
        <w:noProof/>
        <w:sz w:val="28"/>
        <w:szCs w:val="28"/>
      </w:rPr>
      <w:drawing>
        <wp:anchor distT="0" distB="0" distL="114300" distR="114300" simplePos="0" relativeHeight="251657728" behindDoc="1" locked="0" layoutInCell="1" allowOverlap="1" wp14:anchorId="04F9C959" wp14:editId="7DAE01EB">
          <wp:simplePos x="0" y="0"/>
          <wp:positionH relativeFrom="column">
            <wp:posOffset>5457825</wp:posOffset>
          </wp:positionH>
          <wp:positionV relativeFrom="paragraph">
            <wp:posOffset>-156845</wp:posOffset>
          </wp:positionV>
          <wp:extent cx="1170940" cy="5905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7094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sz w:val="28"/>
        <w:szCs w:val="28"/>
      </w:rPr>
      <w:t>MODULE SPECIFICATION COVER SHEET</w:t>
    </w:r>
  </w:p>
  <w:p w14:paraId="3C02B94E" w14:textId="77777777" w:rsidR="000F7FBF" w:rsidRPr="000F7FBF" w:rsidRDefault="000F7FBF" w:rsidP="000F7F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5581F9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BC392C"/>
    <w:multiLevelType w:val="hybridMultilevel"/>
    <w:tmpl w:val="0A3AA04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24730FE8"/>
    <w:multiLevelType w:val="hybridMultilevel"/>
    <w:tmpl w:val="0B0E93A4"/>
    <w:lvl w:ilvl="0" w:tplc="11BA5FFE">
      <w:start w:val="1"/>
      <w:numFmt w:val="decimal"/>
      <w:pStyle w:val="header2"/>
      <w:lvlText w:val="%1."/>
      <w:lvlJc w:val="left"/>
      <w:pPr>
        <w:ind w:left="720" w:hanging="360"/>
      </w:pPr>
      <w:rPr>
        <w:b w:val="0"/>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F9D4F60"/>
    <w:multiLevelType w:val="hybridMultilevel"/>
    <w:tmpl w:val="F458789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30707399"/>
    <w:multiLevelType w:val="multilevel"/>
    <w:tmpl w:val="0BF621CE"/>
    <w:lvl w:ilvl="0">
      <w:start w:val="13"/>
      <w:numFmt w:val="decimal"/>
      <w:lvlText w:val="%1"/>
      <w:lvlJc w:val="left"/>
      <w:pPr>
        <w:ind w:left="420" w:hanging="420"/>
      </w:pPr>
      <w:rPr>
        <w:rFonts w:hint="default"/>
      </w:rPr>
    </w:lvl>
    <w:lvl w:ilvl="1">
      <w:start w:val="1"/>
      <w:numFmt w:val="decimal"/>
      <w:lvlText w:val="%1.%2"/>
      <w:lvlJc w:val="left"/>
      <w:pPr>
        <w:ind w:left="704"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35096334"/>
    <w:multiLevelType w:val="multilevel"/>
    <w:tmpl w:val="0B66A0E8"/>
    <w:lvl w:ilvl="0">
      <w:start w:val="14"/>
      <w:numFmt w:val="decimal"/>
      <w:lvlText w:val="%1"/>
      <w:lvlJc w:val="left"/>
      <w:pPr>
        <w:ind w:left="465" w:hanging="465"/>
      </w:pPr>
      <w:rPr>
        <w:rFonts w:hint="default"/>
        <w:i w:val="0"/>
      </w:rPr>
    </w:lvl>
    <w:lvl w:ilvl="1">
      <w:start w:val="1"/>
      <w:numFmt w:val="decimal"/>
      <w:lvlText w:val="%1.%2"/>
      <w:lvlJc w:val="left"/>
      <w:pPr>
        <w:ind w:left="465" w:hanging="465"/>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1800" w:hanging="1800"/>
      </w:pPr>
      <w:rPr>
        <w:rFonts w:hint="default"/>
        <w:i w:val="0"/>
      </w:rPr>
    </w:lvl>
  </w:abstractNum>
  <w:abstractNum w:abstractNumId="6" w15:restartNumberingAfterBreak="0">
    <w:nsid w:val="3660317F"/>
    <w:multiLevelType w:val="multilevel"/>
    <w:tmpl w:val="2F1236D2"/>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B9631BD"/>
    <w:multiLevelType w:val="multilevel"/>
    <w:tmpl w:val="A002E706"/>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57E11341"/>
    <w:multiLevelType w:val="hybridMultilevel"/>
    <w:tmpl w:val="A2EE1400"/>
    <w:lvl w:ilvl="0" w:tplc="6BDC6D4C">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9" w15:restartNumberingAfterBreak="0">
    <w:nsid w:val="59AA10F9"/>
    <w:multiLevelType w:val="hybridMultilevel"/>
    <w:tmpl w:val="E52669C8"/>
    <w:lvl w:ilvl="0" w:tplc="B13CD7BE">
      <w:start w:val="1"/>
      <w:numFmt w:val="decimal"/>
      <w:lvlText w:val="%1."/>
      <w:lvlJc w:val="left"/>
      <w:pPr>
        <w:ind w:left="360" w:hanging="360"/>
      </w:pPr>
      <w:rPr>
        <w:rFonts w:ascii="Arial" w:hAnsi="Arial" w:cs="Arial" w:hint="default"/>
        <w:b w:val="0"/>
        <w:bCs/>
        <w:i w:val="0"/>
        <w:i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A787623"/>
    <w:multiLevelType w:val="hybridMultilevel"/>
    <w:tmpl w:val="D8828DD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79AA4BA0"/>
    <w:multiLevelType w:val="hybridMultilevel"/>
    <w:tmpl w:val="F1502D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 w:numId="5">
    <w:abstractNumId w:val="10"/>
  </w:num>
  <w:num w:numId="6">
    <w:abstractNumId w:val="8"/>
  </w:num>
  <w:num w:numId="7">
    <w:abstractNumId w:val="11"/>
  </w:num>
  <w:num w:numId="8">
    <w:abstractNumId w:val="9"/>
  </w:num>
  <w:num w:numId="9">
    <w:abstractNumId w:val="4"/>
  </w:num>
  <w:num w:numId="10">
    <w:abstractNumId w:val="5"/>
  </w:num>
  <w:num w:numId="11">
    <w:abstractNumId w:val="2"/>
    <w:lvlOverride w:ilvl="0">
      <w:startOverride w:val="1"/>
    </w:lvlOverride>
  </w:num>
  <w:num w:numId="12">
    <w:abstractNumId w:val="6"/>
  </w:num>
  <w:num w:numId="13">
    <w:abstractNumId w:val="2"/>
  </w:num>
  <w:num w:numId="14">
    <w:abstractNumId w:val="2"/>
    <w:lvlOverride w:ilvl="0">
      <w:startOverride w:val="1"/>
    </w:lvlOverride>
  </w:num>
  <w:num w:numId="15">
    <w:abstractNumId w:val="7"/>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es-ES" w:vendorID="64" w:dllVersion="131078" w:nlCheck="1" w:checkStyle="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D37"/>
    <w:rsid w:val="00000C8C"/>
    <w:rsid w:val="000017F2"/>
    <w:rsid w:val="00005661"/>
    <w:rsid w:val="00010A16"/>
    <w:rsid w:val="00011DDD"/>
    <w:rsid w:val="0001243F"/>
    <w:rsid w:val="00021EA0"/>
    <w:rsid w:val="00025992"/>
    <w:rsid w:val="00027937"/>
    <w:rsid w:val="00030C9E"/>
    <w:rsid w:val="00031E67"/>
    <w:rsid w:val="000408CC"/>
    <w:rsid w:val="00045373"/>
    <w:rsid w:val="000504E9"/>
    <w:rsid w:val="00063A2F"/>
    <w:rsid w:val="000674E0"/>
    <w:rsid w:val="000678D3"/>
    <w:rsid w:val="00072357"/>
    <w:rsid w:val="00094810"/>
    <w:rsid w:val="00096DA4"/>
    <w:rsid w:val="000A0E79"/>
    <w:rsid w:val="000C0294"/>
    <w:rsid w:val="000C3A7E"/>
    <w:rsid w:val="000C7A1C"/>
    <w:rsid w:val="000D2A8A"/>
    <w:rsid w:val="000D32AC"/>
    <w:rsid w:val="000E20C1"/>
    <w:rsid w:val="000E3B73"/>
    <w:rsid w:val="000F6C56"/>
    <w:rsid w:val="000F7FBF"/>
    <w:rsid w:val="00106BE5"/>
    <w:rsid w:val="00110947"/>
    <w:rsid w:val="00111906"/>
    <w:rsid w:val="00111CB3"/>
    <w:rsid w:val="00117577"/>
    <w:rsid w:val="00117793"/>
    <w:rsid w:val="001206E4"/>
    <w:rsid w:val="001214D3"/>
    <w:rsid w:val="00121BFC"/>
    <w:rsid w:val="00126E5A"/>
    <w:rsid w:val="001402AD"/>
    <w:rsid w:val="00141E23"/>
    <w:rsid w:val="001540CE"/>
    <w:rsid w:val="0015717B"/>
    <w:rsid w:val="00157ACA"/>
    <w:rsid w:val="00160427"/>
    <w:rsid w:val="00162D46"/>
    <w:rsid w:val="00172793"/>
    <w:rsid w:val="00180558"/>
    <w:rsid w:val="001811E5"/>
    <w:rsid w:val="00182EDF"/>
    <w:rsid w:val="00183B34"/>
    <w:rsid w:val="00185F46"/>
    <w:rsid w:val="00196C6A"/>
    <w:rsid w:val="0019787E"/>
    <w:rsid w:val="001A425B"/>
    <w:rsid w:val="001A7762"/>
    <w:rsid w:val="001B1B28"/>
    <w:rsid w:val="001B27FB"/>
    <w:rsid w:val="001C1787"/>
    <w:rsid w:val="001C4A85"/>
    <w:rsid w:val="001C5443"/>
    <w:rsid w:val="001D0C7D"/>
    <w:rsid w:val="001D1F2D"/>
    <w:rsid w:val="001D2314"/>
    <w:rsid w:val="001D6398"/>
    <w:rsid w:val="001E1F45"/>
    <w:rsid w:val="001E62C1"/>
    <w:rsid w:val="001F0779"/>
    <w:rsid w:val="001F3C3E"/>
    <w:rsid w:val="00201C5F"/>
    <w:rsid w:val="0020243A"/>
    <w:rsid w:val="00204081"/>
    <w:rsid w:val="0021578E"/>
    <w:rsid w:val="0022570F"/>
    <w:rsid w:val="00227582"/>
    <w:rsid w:val="002302FD"/>
    <w:rsid w:val="002308BE"/>
    <w:rsid w:val="002407C0"/>
    <w:rsid w:val="00244745"/>
    <w:rsid w:val="002461AF"/>
    <w:rsid w:val="002465A1"/>
    <w:rsid w:val="00247D89"/>
    <w:rsid w:val="00263321"/>
    <w:rsid w:val="00264576"/>
    <w:rsid w:val="0026585A"/>
    <w:rsid w:val="00266735"/>
    <w:rsid w:val="00273CF0"/>
    <w:rsid w:val="002748D4"/>
    <w:rsid w:val="00274ED7"/>
    <w:rsid w:val="0028461D"/>
    <w:rsid w:val="0028590C"/>
    <w:rsid w:val="00292C46"/>
    <w:rsid w:val="002938D6"/>
    <w:rsid w:val="00294B73"/>
    <w:rsid w:val="002A0C18"/>
    <w:rsid w:val="002A1D60"/>
    <w:rsid w:val="002A219B"/>
    <w:rsid w:val="002A22DB"/>
    <w:rsid w:val="002B20F5"/>
    <w:rsid w:val="002B2A1A"/>
    <w:rsid w:val="002B71F2"/>
    <w:rsid w:val="002D1DDF"/>
    <w:rsid w:val="002E71C0"/>
    <w:rsid w:val="002F05F4"/>
    <w:rsid w:val="002F0CE4"/>
    <w:rsid w:val="002F23EF"/>
    <w:rsid w:val="002F2626"/>
    <w:rsid w:val="00302082"/>
    <w:rsid w:val="00306620"/>
    <w:rsid w:val="003262B9"/>
    <w:rsid w:val="00334A02"/>
    <w:rsid w:val="00335875"/>
    <w:rsid w:val="00335FBE"/>
    <w:rsid w:val="00351D4F"/>
    <w:rsid w:val="00352D8E"/>
    <w:rsid w:val="00356B68"/>
    <w:rsid w:val="0035702D"/>
    <w:rsid w:val="003604D4"/>
    <w:rsid w:val="003627B0"/>
    <w:rsid w:val="00374DF6"/>
    <w:rsid w:val="003759B0"/>
    <w:rsid w:val="00375F84"/>
    <w:rsid w:val="00376E34"/>
    <w:rsid w:val="003804E7"/>
    <w:rsid w:val="00391263"/>
    <w:rsid w:val="003934D2"/>
    <w:rsid w:val="003973A1"/>
    <w:rsid w:val="003A5DA0"/>
    <w:rsid w:val="003A5EEB"/>
    <w:rsid w:val="003A6143"/>
    <w:rsid w:val="003B35F4"/>
    <w:rsid w:val="003B7C76"/>
    <w:rsid w:val="003C3E0C"/>
    <w:rsid w:val="003C776B"/>
    <w:rsid w:val="003D4A1C"/>
    <w:rsid w:val="003D7AA0"/>
    <w:rsid w:val="003E1FF7"/>
    <w:rsid w:val="003E311D"/>
    <w:rsid w:val="003F3578"/>
    <w:rsid w:val="003F4470"/>
    <w:rsid w:val="003F5A04"/>
    <w:rsid w:val="003F67CD"/>
    <w:rsid w:val="003F6D26"/>
    <w:rsid w:val="00402ED7"/>
    <w:rsid w:val="004114F8"/>
    <w:rsid w:val="00422B69"/>
    <w:rsid w:val="00423D86"/>
    <w:rsid w:val="00424C90"/>
    <w:rsid w:val="00426833"/>
    <w:rsid w:val="004323FD"/>
    <w:rsid w:val="00436BE9"/>
    <w:rsid w:val="00441E76"/>
    <w:rsid w:val="004443DA"/>
    <w:rsid w:val="00446A75"/>
    <w:rsid w:val="004474A2"/>
    <w:rsid w:val="00453433"/>
    <w:rsid w:val="00460925"/>
    <w:rsid w:val="00471C6C"/>
    <w:rsid w:val="00472023"/>
    <w:rsid w:val="00476167"/>
    <w:rsid w:val="00486993"/>
    <w:rsid w:val="00492DA4"/>
    <w:rsid w:val="00496AA3"/>
    <w:rsid w:val="00497C98"/>
    <w:rsid w:val="004A39D7"/>
    <w:rsid w:val="004A3C23"/>
    <w:rsid w:val="004A55FA"/>
    <w:rsid w:val="004B5D03"/>
    <w:rsid w:val="004C1EC4"/>
    <w:rsid w:val="004D035C"/>
    <w:rsid w:val="004F3C18"/>
    <w:rsid w:val="004F4328"/>
    <w:rsid w:val="005005E4"/>
    <w:rsid w:val="00500B56"/>
    <w:rsid w:val="00513689"/>
    <w:rsid w:val="0051375A"/>
    <w:rsid w:val="00521097"/>
    <w:rsid w:val="0053059E"/>
    <w:rsid w:val="00532F6F"/>
    <w:rsid w:val="00533663"/>
    <w:rsid w:val="005460C2"/>
    <w:rsid w:val="005526FB"/>
    <w:rsid w:val="0055280A"/>
    <w:rsid w:val="00553D19"/>
    <w:rsid w:val="005548E1"/>
    <w:rsid w:val="0055585D"/>
    <w:rsid w:val="0056127B"/>
    <w:rsid w:val="00561D26"/>
    <w:rsid w:val="00564738"/>
    <w:rsid w:val="00567EC9"/>
    <w:rsid w:val="00571630"/>
    <w:rsid w:val="005718A2"/>
    <w:rsid w:val="005759F4"/>
    <w:rsid w:val="005779D1"/>
    <w:rsid w:val="0058041A"/>
    <w:rsid w:val="0058743D"/>
    <w:rsid w:val="00587BF7"/>
    <w:rsid w:val="00591599"/>
    <w:rsid w:val="00592034"/>
    <w:rsid w:val="0059477B"/>
    <w:rsid w:val="00596884"/>
    <w:rsid w:val="005A14B5"/>
    <w:rsid w:val="005B2F01"/>
    <w:rsid w:val="005B5A98"/>
    <w:rsid w:val="005C1A4F"/>
    <w:rsid w:val="005C27D7"/>
    <w:rsid w:val="005D6EB5"/>
    <w:rsid w:val="005D7CD0"/>
    <w:rsid w:val="005E1A3A"/>
    <w:rsid w:val="005E6ADC"/>
    <w:rsid w:val="005E6D10"/>
    <w:rsid w:val="005E6D38"/>
    <w:rsid w:val="005E7B3F"/>
    <w:rsid w:val="005F040F"/>
    <w:rsid w:val="005F2C42"/>
    <w:rsid w:val="006043FC"/>
    <w:rsid w:val="006050CF"/>
    <w:rsid w:val="0062219E"/>
    <w:rsid w:val="006253AA"/>
    <w:rsid w:val="00626023"/>
    <w:rsid w:val="00633150"/>
    <w:rsid w:val="006336C2"/>
    <w:rsid w:val="00636058"/>
    <w:rsid w:val="00637A50"/>
    <w:rsid w:val="00641D6D"/>
    <w:rsid w:val="00641F51"/>
    <w:rsid w:val="0064364E"/>
    <w:rsid w:val="006438F3"/>
    <w:rsid w:val="00647907"/>
    <w:rsid w:val="00651A82"/>
    <w:rsid w:val="006525E9"/>
    <w:rsid w:val="0066747B"/>
    <w:rsid w:val="006725EC"/>
    <w:rsid w:val="00674ED0"/>
    <w:rsid w:val="00682650"/>
    <w:rsid w:val="00683609"/>
    <w:rsid w:val="00684851"/>
    <w:rsid w:val="00685EDD"/>
    <w:rsid w:val="00687284"/>
    <w:rsid w:val="00694309"/>
    <w:rsid w:val="00694B52"/>
    <w:rsid w:val="00695285"/>
    <w:rsid w:val="00696C56"/>
    <w:rsid w:val="00696FF5"/>
    <w:rsid w:val="006A6BB4"/>
    <w:rsid w:val="006A6D16"/>
    <w:rsid w:val="006A7FB0"/>
    <w:rsid w:val="006C2A9A"/>
    <w:rsid w:val="006C423D"/>
    <w:rsid w:val="006C46EF"/>
    <w:rsid w:val="006C4C67"/>
    <w:rsid w:val="006D13C0"/>
    <w:rsid w:val="006D41AB"/>
    <w:rsid w:val="006D444F"/>
    <w:rsid w:val="006E193C"/>
    <w:rsid w:val="006E413A"/>
    <w:rsid w:val="006E4FEA"/>
    <w:rsid w:val="006F1A15"/>
    <w:rsid w:val="006F3F8B"/>
    <w:rsid w:val="00700488"/>
    <w:rsid w:val="00703404"/>
    <w:rsid w:val="00703F92"/>
    <w:rsid w:val="00704637"/>
    <w:rsid w:val="007105E4"/>
    <w:rsid w:val="00710647"/>
    <w:rsid w:val="00714EE5"/>
    <w:rsid w:val="00720270"/>
    <w:rsid w:val="00724362"/>
    <w:rsid w:val="00727780"/>
    <w:rsid w:val="0073792C"/>
    <w:rsid w:val="00754069"/>
    <w:rsid w:val="00765ED0"/>
    <w:rsid w:val="007667DF"/>
    <w:rsid w:val="0077080B"/>
    <w:rsid w:val="00787070"/>
    <w:rsid w:val="007906FD"/>
    <w:rsid w:val="00797197"/>
    <w:rsid w:val="007972A7"/>
    <w:rsid w:val="007A1668"/>
    <w:rsid w:val="007A2BA2"/>
    <w:rsid w:val="007A3F31"/>
    <w:rsid w:val="007A49C1"/>
    <w:rsid w:val="007A6245"/>
    <w:rsid w:val="007B1DB2"/>
    <w:rsid w:val="007B375B"/>
    <w:rsid w:val="007B412A"/>
    <w:rsid w:val="007B635E"/>
    <w:rsid w:val="007B7724"/>
    <w:rsid w:val="007B7CDC"/>
    <w:rsid w:val="007C74B4"/>
    <w:rsid w:val="007E3412"/>
    <w:rsid w:val="007F393D"/>
    <w:rsid w:val="00801361"/>
    <w:rsid w:val="008029AF"/>
    <w:rsid w:val="00802FFA"/>
    <w:rsid w:val="008102E5"/>
    <w:rsid w:val="008111B4"/>
    <w:rsid w:val="008133F0"/>
    <w:rsid w:val="00815880"/>
    <w:rsid w:val="0082322C"/>
    <w:rsid w:val="00823942"/>
    <w:rsid w:val="00827FFD"/>
    <w:rsid w:val="00854535"/>
    <w:rsid w:val="00856EB3"/>
    <w:rsid w:val="00863C96"/>
    <w:rsid w:val="00864A72"/>
    <w:rsid w:val="00873E9F"/>
    <w:rsid w:val="00874047"/>
    <w:rsid w:val="008778CB"/>
    <w:rsid w:val="00881545"/>
    <w:rsid w:val="00883204"/>
    <w:rsid w:val="00883A3E"/>
    <w:rsid w:val="0088428D"/>
    <w:rsid w:val="0089148D"/>
    <w:rsid w:val="00891E0D"/>
    <w:rsid w:val="008A0F36"/>
    <w:rsid w:val="008B2543"/>
    <w:rsid w:val="008B4B6E"/>
    <w:rsid w:val="008D4447"/>
    <w:rsid w:val="008D7401"/>
    <w:rsid w:val="00903DF6"/>
    <w:rsid w:val="00921CF6"/>
    <w:rsid w:val="00922E9E"/>
    <w:rsid w:val="00924EF0"/>
    <w:rsid w:val="00934D7B"/>
    <w:rsid w:val="00947180"/>
    <w:rsid w:val="009567BE"/>
    <w:rsid w:val="009676FA"/>
    <w:rsid w:val="009679E0"/>
    <w:rsid w:val="00977632"/>
    <w:rsid w:val="00982A8E"/>
    <w:rsid w:val="00987DB4"/>
    <w:rsid w:val="0099029D"/>
    <w:rsid w:val="00996204"/>
    <w:rsid w:val="009A26CB"/>
    <w:rsid w:val="009A2BC2"/>
    <w:rsid w:val="009A2D37"/>
    <w:rsid w:val="009A7587"/>
    <w:rsid w:val="009B0A69"/>
    <w:rsid w:val="009B4F5B"/>
    <w:rsid w:val="009C2474"/>
    <w:rsid w:val="009C7082"/>
    <w:rsid w:val="009D0006"/>
    <w:rsid w:val="009D068C"/>
    <w:rsid w:val="009D52D0"/>
    <w:rsid w:val="009E41C9"/>
    <w:rsid w:val="009F058B"/>
    <w:rsid w:val="009F3A2A"/>
    <w:rsid w:val="009F5EA4"/>
    <w:rsid w:val="009F731F"/>
    <w:rsid w:val="009F7D33"/>
    <w:rsid w:val="00A021FE"/>
    <w:rsid w:val="00A1270E"/>
    <w:rsid w:val="00A13526"/>
    <w:rsid w:val="00A15342"/>
    <w:rsid w:val="00A15EC7"/>
    <w:rsid w:val="00A3007E"/>
    <w:rsid w:val="00A32048"/>
    <w:rsid w:val="00A337C6"/>
    <w:rsid w:val="00A41F06"/>
    <w:rsid w:val="00A50FD4"/>
    <w:rsid w:val="00A52DB4"/>
    <w:rsid w:val="00A618E1"/>
    <w:rsid w:val="00A629B9"/>
    <w:rsid w:val="00A70C20"/>
    <w:rsid w:val="00A74292"/>
    <w:rsid w:val="00A776DE"/>
    <w:rsid w:val="00A80640"/>
    <w:rsid w:val="00A86D74"/>
    <w:rsid w:val="00A87FFD"/>
    <w:rsid w:val="00A97038"/>
    <w:rsid w:val="00A97CB8"/>
    <w:rsid w:val="00AA3C15"/>
    <w:rsid w:val="00AA6330"/>
    <w:rsid w:val="00AC7501"/>
    <w:rsid w:val="00AD748B"/>
    <w:rsid w:val="00AE4865"/>
    <w:rsid w:val="00AE6FC7"/>
    <w:rsid w:val="00AF50EE"/>
    <w:rsid w:val="00B02337"/>
    <w:rsid w:val="00B0591D"/>
    <w:rsid w:val="00B13402"/>
    <w:rsid w:val="00B14BC2"/>
    <w:rsid w:val="00B17024"/>
    <w:rsid w:val="00B17CD2"/>
    <w:rsid w:val="00B213D2"/>
    <w:rsid w:val="00B248BA"/>
    <w:rsid w:val="00B24B56"/>
    <w:rsid w:val="00B2615D"/>
    <w:rsid w:val="00B30E07"/>
    <w:rsid w:val="00B34ADD"/>
    <w:rsid w:val="00B36F40"/>
    <w:rsid w:val="00B52FF5"/>
    <w:rsid w:val="00B5498B"/>
    <w:rsid w:val="00B57219"/>
    <w:rsid w:val="00B658A3"/>
    <w:rsid w:val="00B65AAD"/>
    <w:rsid w:val="00B72470"/>
    <w:rsid w:val="00B746A8"/>
    <w:rsid w:val="00B750F2"/>
    <w:rsid w:val="00B7664D"/>
    <w:rsid w:val="00B80989"/>
    <w:rsid w:val="00B90C66"/>
    <w:rsid w:val="00B9109B"/>
    <w:rsid w:val="00B927AE"/>
    <w:rsid w:val="00B93721"/>
    <w:rsid w:val="00B937B1"/>
    <w:rsid w:val="00BA453C"/>
    <w:rsid w:val="00BA4E02"/>
    <w:rsid w:val="00BB2045"/>
    <w:rsid w:val="00BB2A6D"/>
    <w:rsid w:val="00BB4189"/>
    <w:rsid w:val="00BC19F7"/>
    <w:rsid w:val="00BC41ED"/>
    <w:rsid w:val="00BD009E"/>
    <w:rsid w:val="00BD0EF8"/>
    <w:rsid w:val="00BD434E"/>
    <w:rsid w:val="00BD7A8C"/>
    <w:rsid w:val="00BE2126"/>
    <w:rsid w:val="00BE3B17"/>
    <w:rsid w:val="00BF51AB"/>
    <w:rsid w:val="00BF716B"/>
    <w:rsid w:val="00BF7233"/>
    <w:rsid w:val="00C02AA2"/>
    <w:rsid w:val="00C04C95"/>
    <w:rsid w:val="00C12613"/>
    <w:rsid w:val="00C16DEF"/>
    <w:rsid w:val="00C2492F"/>
    <w:rsid w:val="00C3744A"/>
    <w:rsid w:val="00C4002A"/>
    <w:rsid w:val="00C46912"/>
    <w:rsid w:val="00C612A8"/>
    <w:rsid w:val="00C618D2"/>
    <w:rsid w:val="00C67631"/>
    <w:rsid w:val="00C709C6"/>
    <w:rsid w:val="00C729D7"/>
    <w:rsid w:val="00C83354"/>
    <w:rsid w:val="00C84004"/>
    <w:rsid w:val="00C843F6"/>
    <w:rsid w:val="00C84507"/>
    <w:rsid w:val="00C862C7"/>
    <w:rsid w:val="00C866AE"/>
    <w:rsid w:val="00CA3254"/>
    <w:rsid w:val="00CB11CE"/>
    <w:rsid w:val="00CC25A2"/>
    <w:rsid w:val="00CD7F07"/>
    <w:rsid w:val="00CE04F3"/>
    <w:rsid w:val="00CE12D8"/>
    <w:rsid w:val="00CE4574"/>
    <w:rsid w:val="00CE70E6"/>
    <w:rsid w:val="00CF0BCA"/>
    <w:rsid w:val="00CF2E1E"/>
    <w:rsid w:val="00D02E99"/>
    <w:rsid w:val="00D13357"/>
    <w:rsid w:val="00D13A13"/>
    <w:rsid w:val="00D2689A"/>
    <w:rsid w:val="00D65506"/>
    <w:rsid w:val="00D773CF"/>
    <w:rsid w:val="00D83563"/>
    <w:rsid w:val="00D8448F"/>
    <w:rsid w:val="00D85234"/>
    <w:rsid w:val="00DA64B6"/>
    <w:rsid w:val="00DB2B91"/>
    <w:rsid w:val="00DB5C9D"/>
    <w:rsid w:val="00DD02E6"/>
    <w:rsid w:val="00DD2E74"/>
    <w:rsid w:val="00DF665B"/>
    <w:rsid w:val="00E0152A"/>
    <w:rsid w:val="00E03394"/>
    <w:rsid w:val="00E066E5"/>
    <w:rsid w:val="00E1736E"/>
    <w:rsid w:val="00E21923"/>
    <w:rsid w:val="00E22F03"/>
    <w:rsid w:val="00E233C1"/>
    <w:rsid w:val="00E51404"/>
    <w:rsid w:val="00E574C9"/>
    <w:rsid w:val="00E610DE"/>
    <w:rsid w:val="00E66167"/>
    <w:rsid w:val="00E71F2F"/>
    <w:rsid w:val="00E77786"/>
    <w:rsid w:val="00E806FB"/>
    <w:rsid w:val="00EB0365"/>
    <w:rsid w:val="00EB1C2D"/>
    <w:rsid w:val="00EB41D1"/>
    <w:rsid w:val="00EC1810"/>
    <w:rsid w:val="00EC3FCC"/>
    <w:rsid w:val="00ED32FF"/>
    <w:rsid w:val="00EE71CC"/>
    <w:rsid w:val="00EF039B"/>
    <w:rsid w:val="00EF4933"/>
    <w:rsid w:val="00EF5044"/>
    <w:rsid w:val="00EF5DCE"/>
    <w:rsid w:val="00EF7644"/>
    <w:rsid w:val="00F01956"/>
    <w:rsid w:val="00F04D2D"/>
    <w:rsid w:val="00F116CE"/>
    <w:rsid w:val="00F16F93"/>
    <w:rsid w:val="00F176DE"/>
    <w:rsid w:val="00F17B94"/>
    <w:rsid w:val="00F21C47"/>
    <w:rsid w:val="00F244E2"/>
    <w:rsid w:val="00F311A2"/>
    <w:rsid w:val="00F317D7"/>
    <w:rsid w:val="00F340DE"/>
    <w:rsid w:val="00F34ED0"/>
    <w:rsid w:val="00F43542"/>
    <w:rsid w:val="00F44BAB"/>
    <w:rsid w:val="00F454E2"/>
    <w:rsid w:val="00F527CB"/>
    <w:rsid w:val="00F562AA"/>
    <w:rsid w:val="00F66975"/>
    <w:rsid w:val="00F7105A"/>
    <w:rsid w:val="00F7710E"/>
    <w:rsid w:val="00F77676"/>
    <w:rsid w:val="00F8197C"/>
    <w:rsid w:val="00F82B4E"/>
    <w:rsid w:val="00F87559"/>
    <w:rsid w:val="00F96D71"/>
    <w:rsid w:val="00F97C9E"/>
    <w:rsid w:val="00FA20DE"/>
    <w:rsid w:val="00FA4EE8"/>
    <w:rsid w:val="00FB12CA"/>
    <w:rsid w:val="00FB2E32"/>
    <w:rsid w:val="00FB36EC"/>
    <w:rsid w:val="00FB4E1B"/>
    <w:rsid w:val="00FC0291"/>
    <w:rsid w:val="00FC1C92"/>
    <w:rsid w:val="00FD333B"/>
    <w:rsid w:val="00FD689C"/>
    <w:rsid w:val="00FD705C"/>
    <w:rsid w:val="00FD777A"/>
    <w:rsid w:val="00FE260B"/>
    <w:rsid w:val="00FE30D8"/>
    <w:rsid w:val="00FE661F"/>
    <w:rsid w:val="00FE692E"/>
    <w:rsid w:val="00FF31CA"/>
    <w:rsid w:val="00FF6EB4"/>
    <w:rsid w:val="00FF785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8EDB5C"/>
  <w15:docId w15:val="{B52EF7E2-FF63-436B-B95E-A8DE95CED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6D26"/>
    <w:rPr>
      <w:rFonts w:eastAsiaTheme="minorEastAsia"/>
      <w:lang w:eastAsia="en-GB"/>
    </w:rPr>
  </w:style>
  <w:style w:type="paragraph" w:styleId="Heading1">
    <w:name w:val="heading 1"/>
    <w:basedOn w:val="Normal"/>
    <w:next w:val="Normal"/>
    <w:link w:val="Heading1Char"/>
    <w:qFormat/>
    <w:rsid w:val="006A6BB4"/>
    <w:pPr>
      <w:keepNext/>
      <w:spacing w:after="0" w:line="240" w:lineRule="auto"/>
      <w:jc w:val="center"/>
      <w:outlineLvl w:val="0"/>
    </w:pPr>
    <w:rPr>
      <w:rFonts w:ascii="Plantin" w:eastAsia="Times New Roman" w:hAnsi="Plantin" w:cs="Times New Roman"/>
      <w:b/>
      <w:sz w:val="24"/>
      <w:szCs w:val="20"/>
      <w:lang w:eastAsia="en-US"/>
    </w:rPr>
  </w:style>
  <w:style w:type="paragraph" w:styleId="Heading2">
    <w:name w:val="heading 2"/>
    <w:basedOn w:val="header2"/>
    <w:next w:val="Normal"/>
    <w:link w:val="Heading2Char"/>
    <w:uiPriority w:val="9"/>
    <w:unhideWhenUsed/>
    <w:qFormat/>
    <w:rsid w:val="00072357"/>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A2D37"/>
    <w:rPr>
      <w:color w:val="0000FF"/>
      <w:u w:val="single"/>
    </w:rPr>
  </w:style>
  <w:style w:type="paragraph" w:customStyle="1" w:styleId="Default">
    <w:name w:val="Default"/>
    <w:rsid w:val="009A2D37"/>
    <w:pPr>
      <w:autoSpaceDE w:val="0"/>
      <w:autoSpaceDN w:val="0"/>
      <w:adjustRightInd w:val="0"/>
      <w:spacing w:after="0" w:line="240" w:lineRule="auto"/>
    </w:pPr>
    <w:rPr>
      <w:rFonts w:ascii="Arial" w:eastAsiaTheme="minorEastAsia" w:hAnsi="Arial" w:cs="Arial"/>
      <w:color w:val="000000"/>
      <w:sz w:val="24"/>
      <w:szCs w:val="24"/>
      <w:lang w:eastAsia="en-GB"/>
    </w:rPr>
  </w:style>
  <w:style w:type="paragraph" w:styleId="NormalWeb">
    <w:name w:val="Normal (Web)"/>
    <w:basedOn w:val="Normal"/>
    <w:uiPriority w:val="99"/>
    <w:semiHidden/>
    <w:unhideWhenUsed/>
    <w:rsid w:val="009A2D3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A2D37"/>
    <w:pPr>
      <w:ind w:left="720"/>
      <w:contextualSpacing/>
    </w:pPr>
  </w:style>
  <w:style w:type="paragraph" w:styleId="Header">
    <w:name w:val="header"/>
    <w:basedOn w:val="Normal"/>
    <w:link w:val="HeaderChar"/>
    <w:uiPriority w:val="99"/>
    <w:unhideWhenUsed/>
    <w:rsid w:val="009A2D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2D37"/>
    <w:rPr>
      <w:rFonts w:eastAsiaTheme="minorEastAsia"/>
      <w:lang w:eastAsia="en-GB"/>
    </w:rPr>
  </w:style>
  <w:style w:type="paragraph" w:styleId="Footer">
    <w:name w:val="footer"/>
    <w:basedOn w:val="Normal"/>
    <w:link w:val="FooterChar"/>
    <w:uiPriority w:val="99"/>
    <w:unhideWhenUsed/>
    <w:rsid w:val="006A6B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2D37"/>
    <w:rPr>
      <w:rFonts w:eastAsiaTheme="minorEastAsia"/>
      <w:lang w:eastAsia="en-GB"/>
    </w:rPr>
  </w:style>
  <w:style w:type="character" w:customStyle="1" w:styleId="Heading1Char">
    <w:name w:val="Heading 1 Char"/>
    <w:basedOn w:val="DefaultParagraphFont"/>
    <w:link w:val="Heading1"/>
    <w:rsid w:val="006A6BB4"/>
    <w:rPr>
      <w:rFonts w:ascii="Plantin" w:eastAsia="Times New Roman" w:hAnsi="Plantin" w:cs="Times New Roman"/>
      <w:b/>
      <w:sz w:val="24"/>
      <w:szCs w:val="20"/>
    </w:rPr>
  </w:style>
  <w:style w:type="paragraph" w:styleId="ListBullet">
    <w:name w:val="List Bullet"/>
    <w:basedOn w:val="Normal"/>
    <w:uiPriority w:val="99"/>
    <w:unhideWhenUsed/>
    <w:rsid w:val="006A6BB4"/>
    <w:pPr>
      <w:numPr>
        <w:numId w:val="2"/>
      </w:numPr>
      <w:contextualSpacing/>
    </w:pPr>
  </w:style>
  <w:style w:type="table" w:styleId="TableGrid">
    <w:name w:val="Table Grid"/>
    <w:basedOn w:val="TableNormal"/>
    <w:uiPriority w:val="59"/>
    <w:rsid w:val="006A6BB4"/>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6A6BB4"/>
    <w:pPr>
      <w:spacing w:after="0" w:line="240" w:lineRule="auto"/>
      <w:jc w:val="center"/>
    </w:pPr>
    <w:rPr>
      <w:rFonts w:ascii="Plantin" w:eastAsia="Times New Roman" w:hAnsi="Plantin" w:cs="Times New Roman"/>
      <w:b/>
      <w:sz w:val="24"/>
      <w:szCs w:val="20"/>
      <w:lang w:eastAsia="en-US"/>
    </w:rPr>
  </w:style>
  <w:style w:type="character" w:customStyle="1" w:styleId="TitleChar">
    <w:name w:val="Title Char"/>
    <w:basedOn w:val="DefaultParagraphFont"/>
    <w:link w:val="Title"/>
    <w:rsid w:val="006A6BB4"/>
    <w:rPr>
      <w:rFonts w:ascii="Plantin" w:eastAsia="Times New Roman" w:hAnsi="Plantin" w:cs="Times New Roman"/>
      <w:b/>
      <w:sz w:val="24"/>
      <w:szCs w:val="20"/>
    </w:rPr>
  </w:style>
  <w:style w:type="paragraph" w:styleId="FootnoteText">
    <w:name w:val="footnote text"/>
    <w:basedOn w:val="Normal"/>
    <w:link w:val="FootnoteTextChar"/>
    <w:semiHidden/>
    <w:rsid w:val="006A6BB4"/>
    <w:pPr>
      <w:spacing w:after="0" w:line="240" w:lineRule="auto"/>
    </w:pPr>
    <w:rPr>
      <w:rFonts w:ascii="Times New Roman" w:eastAsia="Times New Roman" w:hAnsi="Times New Roman" w:cs="Times New Roman"/>
      <w:sz w:val="20"/>
      <w:szCs w:val="20"/>
      <w:lang w:eastAsia="en-US"/>
    </w:rPr>
  </w:style>
  <w:style w:type="character" w:customStyle="1" w:styleId="FootnoteTextChar">
    <w:name w:val="Footnote Text Char"/>
    <w:basedOn w:val="DefaultParagraphFont"/>
    <w:link w:val="FootnoteText"/>
    <w:semiHidden/>
    <w:rsid w:val="006A6BB4"/>
    <w:rPr>
      <w:rFonts w:ascii="Times New Roman" w:eastAsia="Times New Roman" w:hAnsi="Times New Roman" w:cs="Times New Roman"/>
      <w:sz w:val="20"/>
      <w:szCs w:val="20"/>
    </w:rPr>
  </w:style>
  <w:style w:type="character" w:styleId="FootnoteReference">
    <w:name w:val="footnote reference"/>
    <w:semiHidden/>
    <w:rsid w:val="006A6BB4"/>
    <w:rPr>
      <w:vertAlign w:val="superscript"/>
    </w:rPr>
  </w:style>
  <w:style w:type="paragraph" w:styleId="BalloonText">
    <w:name w:val="Balloon Text"/>
    <w:basedOn w:val="Normal"/>
    <w:link w:val="BalloonTextChar"/>
    <w:uiPriority w:val="99"/>
    <w:semiHidden/>
    <w:unhideWhenUsed/>
    <w:rsid w:val="006A6B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6BB4"/>
    <w:rPr>
      <w:rFonts w:ascii="Tahoma" w:eastAsiaTheme="minorEastAsia" w:hAnsi="Tahoma" w:cs="Tahoma"/>
      <w:sz w:val="16"/>
      <w:szCs w:val="16"/>
      <w:lang w:eastAsia="en-GB"/>
    </w:rPr>
  </w:style>
  <w:style w:type="character" w:styleId="FollowedHyperlink">
    <w:name w:val="FollowedHyperlink"/>
    <w:basedOn w:val="DefaultParagraphFont"/>
    <w:uiPriority w:val="99"/>
    <w:semiHidden/>
    <w:unhideWhenUsed/>
    <w:rsid w:val="006A6BB4"/>
    <w:rPr>
      <w:color w:val="800080" w:themeColor="followedHyperlink"/>
      <w:u w:val="single"/>
    </w:rPr>
  </w:style>
  <w:style w:type="character" w:styleId="CommentReference">
    <w:name w:val="annotation reference"/>
    <w:basedOn w:val="DefaultParagraphFont"/>
    <w:uiPriority w:val="99"/>
    <w:semiHidden/>
    <w:unhideWhenUsed/>
    <w:rsid w:val="006A6BB4"/>
    <w:rPr>
      <w:sz w:val="16"/>
      <w:szCs w:val="16"/>
    </w:rPr>
  </w:style>
  <w:style w:type="paragraph" w:styleId="CommentText">
    <w:name w:val="annotation text"/>
    <w:basedOn w:val="Normal"/>
    <w:link w:val="CommentTextChar"/>
    <w:uiPriority w:val="99"/>
    <w:semiHidden/>
    <w:unhideWhenUsed/>
    <w:rsid w:val="006A6BB4"/>
    <w:pPr>
      <w:spacing w:line="240" w:lineRule="auto"/>
    </w:pPr>
    <w:rPr>
      <w:sz w:val="20"/>
      <w:szCs w:val="20"/>
    </w:rPr>
  </w:style>
  <w:style w:type="character" w:customStyle="1" w:styleId="CommentTextChar">
    <w:name w:val="Comment Text Char"/>
    <w:basedOn w:val="DefaultParagraphFont"/>
    <w:link w:val="CommentText"/>
    <w:uiPriority w:val="99"/>
    <w:semiHidden/>
    <w:rsid w:val="006A6BB4"/>
    <w:rPr>
      <w:rFonts w:eastAsiaTheme="minorEastAsia"/>
      <w:sz w:val="20"/>
      <w:szCs w:val="20"/>
      <w:lang w:eastAsia="en-GB"/>
    </w:rPr>
  </w:style>
  <w:style w:type="paragraph" w:styleId="CommentSubject">
    <w:name w:val="annotation subject"/>
    <w:basedOn w:val="CommentText"/>
    <w:next w:val="CommentText"/>
    <w:link w:val="CommentSubjectChar"/>
    <w:uiPriority w:val="99"/>
    <w:semiHidden/>
    <w:unhideWhenUsed/>
    <w:rsid w:val="006A6BB4"/>
    <w:rPr>
      <w:b/>
      <w:bCs/>
    </w:rPr>
  </w:style>
  <w:style w:type="character" w:customStyle="1" w:styleId="CommentSubjectChar">
    <w:name w:val="Comment Subject Char"/>
    <w:basedOn w:val="CommentTextChar"/>
    <w:link w:val="CommentSubject"/>
    <w:uiPriority w:val="99"/>
    <w:semiHidden/>
    <w:rsid w:val="006A6BB4"/>
    <w:rPr>
      <w:rFonts w:eastAsiaTheme="minorEastAsia"/>
      <w:b/>
      <w:bCs/>
      <w:sz w:val="20"/>
      <w:szCs w:val="20"/>
      <w:lang w:eastAsia="en-GB"/>
    </w:rPr>
  </w:style>
  <w:style w:type="table" w:customStyle="1" w:styleId="TableGrid1">
    <w:name w:val="Table Grid1"/>
    <w:basedOn w:val="TableNormal"/>
    <w:next w:val="TableGrid"/>
    <w:uiPriority w:val="59"/>
    <w:rsid w:val="000F7F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5">
    <w:name w:val="s15"/>
    <w:basedOn w:val="DefaultParagraphFont"/>
    <w:rsid w:val="002F05F4"/>
  </w:style>
  <w:style w:type="paragraph" w:styleId="PlainText">
    <w:name w:val="Plain Text"/>
    <w:basedOn w:val="Normal"/>
    <w:link w:val="PlainTextChar"/>
    <w:uiPriority w:val="99"/>
    <w:unhideWhenUsed/>
    <w:rsid w:val="005F040F"/>
    <w:pPr>
      <w:spacing w:after="0" w:line="240" w:lineRule="auto"/>
    </w:pPr>
    <w:rPr>
      <w:rFonts w:ascii="Calibri" w:eastAsiaTheme="minorHAnsi" w:hAnsi="Calibri"/>
      <w:szCs w:val="21"/>
      <w:lang w:eastAsia="en-US"/>
    </w:rPr>
  </w:style>
  <w:style w:type="character" w:customStyle="1" w:styleId="PlainTextChar">
    <w:name w:val="Plain Text Char"/>
    <w:basedOn w:val="DefaultParagraphFont"/>
    <w:link w:val="PlainText"/>
    <w:uiPriority w:val="99"/>
    <w:rsid w:val="005F040F"/>
    <w:rPr>
      <w:rFonts w:ascii="Calibri" w:hAnsi="Calibri"/>
      <w:szCs w:val="21"/>
    </w:rPr>
  </w:style>
  <w:style w:type="table" w:styleId="LightList">
    <w:name w:val="Light List"/>
    <w:basedOn w:val="TableNormal"/>
    <w:uiPriority w:val="61"/>
    <w:rsid w:val="00EB41D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Strong">
    <w:name w:val="Strong"/>
    <w:basedOn w:val="DefaultParagraphFont"/>
    <w:uiPriority w:val="22"/>
    <w:qFormat/>
    <w:rsid w:val="00DD2E74"/>
    <w:rPr>
      <w:b/>
      <w:bCs/>
    </w:rPr>
  </w:style>
  <w:style w:type="character" w:customStyle="1" w:styleId="UnresolvedMention1">
    <w:name w:val="Unresolved Mention1"/>
    <w:basedOn w:val="DefaultParagraphFont"/>
    <w:uiPriority w:val="99"/>
    <w:semiHidden/>
    <w:unhideWhenUsed/>
    <w:rsid w:val="00687284"/>
    <w:rPr>
      <w:color w:val="605E5C"/>
      <w:shd w:val="clear" w:color="auto" w:fill="E1DFDD"/>
    </w:rPr>
  </w:style>
  <w:style w:type="table" w:customStyle="1" w:styleId="TableGrid11">
    <w:name w:val="Table Grid11"/>
    <w:basedOn w:val="TableNormal"/>
    <w:next w:val="TableGrid"/>
    <w:uiPriority w:val="59"/>
    <w:rsid w:val="003F6D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2">
    <w:name w:val="header 2"/>
    <w:basedOn w:val="Normal"/>
    <w:next w:val="Heading2"/>
    <w:link w:val="header2Char"/>
    <w:qFormat/>
    <w:rsid w:val="00B2615D"/>
    <w:pPr>
      <w:numPr>
        <w:numId w:val="1"/>
      </w:numPr>
      <w:spacing w:after="120" w:line="240" w:lineRule="auto"/>
      <w:ind w:right="543"/>
      <w:jc w:val="both"/>
    </w:pPr>
    <w:rPr>
      <w:rFonts w:ascii="Arial" w:hAnsi="Arial" w:cs="Arial"/>
      <w:b/>
      <w:sz w:val="24"/>
      <w:szCs w:val="24"/>
    </w:rPr>
  </w:style>
  <w:style w:type="character" w:customStyle="1" w:styleId="header2Char">
    <w:name w:val="header 2 Char"/>
    <w:basedOn w:val="DefaultParagraphFont"/>
    <w:link w:val="header2"/>
    <w:rsid w:val="00B2615D"/>
    <w:rPr>
      <w:rFonts w:ascii="Arial" w:eastAsiaTheme="minorEastAsia" w:hAnsi="Arial" w:cs="Arial"/>
      <w:b/>
      <w:sz w:val="24"/>
      <w:szCs w:val="24"/>
      <w:lang w:eastAsia="en-GB"/>
    </w:rPr>
  </w:style>
  <w:style w:type="character" w:customStyle="1" w:styleId="Heading2Char">
    <w:name w:val="Heading 2 Char"/>
    <w:basedOn w:val="DefaultParagraphFont"/>
    <w:link w:val="Heading2"/>
    <w:uiPriority w:val="9"/>
    <w:rsid w:val="00072357"/>
    <w:rPr>
      <w:rFonts w:ascii="Arial" w:eastAsiaTheme="minorEastAsia" w:hAnsi="Arial" w:cs="Arial"/>
      <w:b/>
      <w:sz w:val="24"/>
      <w:szCs w:val="24"/>
      <w:lang w:eastAsia="en-GB"/>
    </w:rPr>
  </w:style>
  <w:style w:type="paragraph" w:styleId="Revision">
    <w:name w:val="Revision"/>
    <w:hidden/>
    <w:uiPriority w:val="99"/>
    <w:semiHidden/>
    <w:rsid w:val="006E193C"/>
    <w:pPr>
      <w:spacing w:after="0" w:line="240" w:lineRule="auto"/>
    </w:pPr>
    <w:rPr>
      <w:rFonts w:eastAsiaTheme="minorEastAsia"/>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475903">
      <w:bodyDiv w:val="1"/>
      <w:marLeft w:val="0"/>
      <w:marRight w:val="0"/>
      <w:marTop w:val="0"/>
      <w:marBottom w:val="0"/>
      <w:divBdr>
        <w:top w:val="none" w:sz="0" w:space="0" w:color="auto"/>
        <w:left w:val="none" w:sz="0" w:space="0" w:color="auto"/>
        <w:bottom w:val="none" w:sz="0" w:space="0" w:color="auto"/>
        <w:right w:val="none" w:sz="0" w:space="0" w:color="auto"/>
      </w:divBdr>
    </w:div>
    <w:div w:id="167138880">
      <w:bodyDiv w:val="1"/>
      <w:marLeft w:val="0"/>
      <w:marRight w:val="0"/>
      <w:marTop w:val="0"/>
      <w:marBottom w:val="0"/>
      <w:divBdr>
        <w:top w:val="none" w:sz="0" w:space="0" w:color="auto"/>
        <w:left w:val="none" w:sz="0" w:space="0" w:color="auto"/>
        <w:bottom w:val="none" w:sz="0" w:space="0" w:color="auto"/>
        <w:right w:val="none" w:sz="0" w:space="0" w:color="auto"/>
      </w:divBdr>
    </w:div>
    <w:div w:id="484782649">
      <w:bodyDiv w:val="1"/>
      <w:marLeft w:val="0"/>
      <w:marRight w:val="0"/>
      <w:marTop w:val="0"/>
      <w:marBottom w:val="0"/>
      <w:divBdr>
        <w:top w:val="none" w:sz="0" w:space="0" w:color="auto"/>
        <w:left w:val="none" w:sz="0" w:space="0" w:color="auto"/>
        <w:bottom w:val="none" w:sz="0" w:space="0" w:color="auto"/>
        <w:right w:val="none" w:sz="0" w:space="0" w:color="auto"/>
      </w:divBdr>
      <w:divsChild>
        <w:div w:id="624895288">
          <w:marLeft w:val="0"/>
          <w:marRight w:val="0"/>
          <w:marTop w:val="0"/>
          <w:marBottom w:val="0"/>
          <w:divBdr>
            <w:top w:val="none" w:sz="0" w:space="0" w:color="auto"/>
            <w:left w:val="none" w:sz="0" w:space="0" w:color="auto"/>
            <w:bottom w:val="none" w:sz="0" w:space="0" w:color="auto"/>
            <w:right w:val="none" w:sz="0" w:space="0" w:color="auto"/>
          </w:divBdr>
        </w:div>
        <w:div w:id="1673802970">
          <w:marLeft w:val="0"/>
          <w:marRight w:val="0"/>
          <w:marTop w:val="0"/>
          <w:marBottom w:val="0"/>
          <w:divBdr>
            <w:top w:val="none" w:sz="0" w:space="0" w:color="auto"/>
            <w:left w:val="none" w:sz="0" w:space="0" w:color="auto"/>
            <w:bottom w:val="none" w:sz="0" w:space="0" w:color="auto"/>
            <w:right w:val="none" w:sz="0" w:space="0" w:color="auto"/>
          </w:divBdr>
        </w:div>
      </w:divsChild>
    </w:div>
    <w:div w:id="666443803">
      <w:bodyDiv w:val="1"/>
      <w:marLeft w:val="0"/>
      <w:marRight w:val="0"/>
      <w:marTop w:val="0"/>
      <w:marBottom w:val="0"/>
      <w:divBdr>
        <w:top w:val="none" w:sz="0" w:space="0" w:color="auto"/>
        <w:left w:val="none" w:sz="0" w:space="0" w:color="auto"/>
        <w:bottom w:val="none" w:sz="0" w:space="0" w:color="auto"/>
        <w:right w:val="none" w:sz="0" w:space="0" w:color="auto"/>
      </w:divBdr>
      <w:divsChild>
        <w:div w:id="347949866">
          <w:marLeft w:val="0"/>
          <w:marRight w:val="0"/>
          <w:marTop w:val="0"/>
          <w:marBottom w:val="0"/>
          <w:divBdr>
            <w:top w:val="none" w:sz="0" w:space="0" w:color="auto"/>
            <w:left w:val="none" w:sz="0" w:space="0" w:color="auto"/>
            <w:bottom w:val="none" w:sz="0" w:space="0" w:color="auto"/>
            <w:right w:val="none" w:sz="0" w:space="0" w:color="auto"/>
          </w:divBdr>
          <w:divsChild>
            <w:div w:id="10232178">
              <w:marLeft w:val="0"/>
              <w:marRight w:val="0"/>
              <w:marTop w:val="0"/>
              <w:marBottom w:val="0"/>
              <w:divBdr>
                <w:top w:val="none" w:sz="0" w:space="0" w:color="auto"/>
                <w:left w:val="none" w:sz="0" w:space="0" w:color="auto"/>
                <w:bottom w:val="none" w:sz="0" w:space="0" w:color="auto"/>
                <w:right w:val="none" w:sz="0" w:space="0" w:color="auto"/>
              </w:divBdr>
              <w:divsChild>
                <w:div w:id="89805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515748">
      <w:bodyDiv w:val="1"/>
      <w:marLeft w:val="0"/>
      <w:marRight w:val="0"/>
      <w:marTop w:val="0"/>
      <w:marBottom w:val="0"/>
      <w:divBdr>
        <w:top w:val="none" w:sz="0" w:space="0" w:color="auto"/>
        <w:left w:val="none" w:sz="0" w:space="0" w:color="auto"/>
        <w:bottom w:val="none" w:sz="0" w:space="0" w:color="auto"/>
        <w:right w:val="none" w:sz="0" w:space="0" w:color="auto"/>
      </w:divBdr>
    </w:div>
    <w:div w:id="1978102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nt.rl.talis.com/index.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2FF863D45A9CB4BA9540D2BC5DB9BE0" ma:contentTypeVersion="10" ma:contentTypeDescription="Create a new document." ma:contentTypeScope="" ma:versionID="06a62ee7755d5b2b1b8fb48dd6b99d8b">
  <xsd:schema xmlns:xsd="http://www.w3.org/2001/XMLSchema" xmlns:xs="http://www.w3.org/2001/XMLSchema" xmlns:p="http://schemas.microsoft.com/office/2006/metadata/properties" xmlns:ns2="3f13950b-87af-46f0-9487-6c1699f0ca98" xmlns:ns3="d2b79f8b-553a-4f97-849b-574ef3b42426" targetNamespace="http://schemas.microsoft.com/office/2006/metadata/properties" ma:root="true" ma:fieldsID="3a43542cdcc881ff85c78990983a6b1d" ns2:_="" ns3:_="">
    <xsd:import namespace="3f13950b-87af-46f0-9487-6c1699f0ca98"/>
    <xsd:import namespace="d2b79f8b-553a-4f97-849b-574ef3b424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13950b-87af-46f0-9487-6c1699f0ca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b79f8b-553a-4f97-849b-574ef3b4242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0F12EB-FD8D-4AE3-B053-6FE3F7D98160}">
  <ds:schemaRefs>
    <ds:schemaRef ds:uri="http://schemas.openxmlformats.org/officeDocument/2006/bibliography"/>
  </ds:schemaRefs>
</ds:datastoreItem>
</file>

<file path=customXml/itemProps2.xml><?xml version="1.0" encoding="utf-8"?>
<ds:datastoreItem xmlns:ds="http://schemas.openxmlformats.org/officeDocument/2006/customXml" ds:itemID="{76B5BB7C-452D-4D32-90B0-5365E915836B}"/>
</file>

<file path=customXml/itemProps3.xml><?xml version="1.0" encoding="utf-8"?>
<ds:datastoreItem xmlns:ds="http://schemas.openxmlformats.org/officeDocument/2006/customXml" ds:itemID="{FD6CFD74-A6B8-4585-95C7-0342C991B2F5}"/>
</file>

<file path=customXml/itemProps4.xml><?xml version="1.0" encoding="utf-8"?>
<ds:datastoreItem xmlns:ds="http://schemas.openxmlformats.org/officeDocument/2006/customXml" ds:itemID="{D9DE5C0D-E3DF-4766-A7FA-376185C59A99}"/>
</file>

<file path=docProps/app.xml><?xml version="1.0" encoding="utf-8"?>
<Properties xmlns="http://schemas.openxmlformats.org/officeDocument/2006/extended-properties" xmlns:vt="http://schemas.openxmlformats.org/officeDocument/2006/docPropsVTypes">
  <Template>Normal.dotm</Template>
  <TotalTime>4</TotalTime>
  <Pages>4</Pages>
  <Words>896</Words>
  <Characters>5113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Kent</Company>
  <LinksUpToDate>false</LinksUpToDate>
  <CharactersWithSpaces>5998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Denny Flowers</dc:creator>
  <cp:lastModifiedBy>Ben Martin</cp:lastModifiedBy>
  <cp:revision>4</cp:revision>
  <cp:lastPrinted>2019-02-26T09:40:00Z</cp:lastPrinted>
  <dcterms:created xsi:type="dcterms:W3CDTF">2022-01-21T11:24:00Z</dcterms:created>
  <dcterms:modified xsi:type="dcterms:W3CDTF">2022-03-04T19:12:00Z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0x01010042FF863D45A9CB4BA9540D2BC5DB9BE0</vt:lpwstr>
  </property>
</Properties>
</file>