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49138" w14:textId="34221CC2" w:rsidR="008C6CBE" w:rsidRDefault="00E97530" w:rsidP="00696FF5">
      <w:pPr>
        <w:numPr>
          <w:ilvl w:val="0"/>
          <w:numId w:val="1"/>
        </w:numPr>
        <w:spacing w:after="120" w:line="240" w:lineRule="auto"/>
        <w:ind w:left="567" w:right="260" w:hanging="567"/>
        <w:jc w:val="both"/>
        <w:rPr>
          <w:rFonts w:ascii="Arial" w:hAnsi="Arial" w:cs="Arial"/>
          <w:b/>
        </w:rPr>
      </w:pPr>
      <w:r>
        <w:rPr>
          <w:rFonts w:ascii="Arial" w:hAnsi="Arial" w:cs="Arial"/>
          <w:b/>
        </w:rPr>
        <w:t>KentVision code and t</w:t>
      </w:r>
      <w:r w:rsidR="009A2D37" w:rsidRPr="00302082">
        <w:rPr>
          <w:rFonts w:ascii="Arial" w:hAnsi="Arial" w:cs="Arial"/>
          <w:b/>
        </w:rPr>
        <w:t>itle of the module</w:t>
      </w:r>
      <w:r w:rsidR="005E634A">
        <w:rPr>
          <w:rFonts w:ascii="Arial" w:hAnsi="Arial" w:cs="Arial"/>
          <w:b/>
        </w:rPr>
        <w:t xml:space="preserve">: </w:t>
      </w:r>
    </w:p>
    <w:p w14:paraId="0E6925AA" w14:textId="308852DD" w:rsidR="009A2D37" w:rsidRPr="00302082" w:rsidRDefault="008C6CBE" w:rsidP="008C6CBE">
      <w:pPr>
        <w:spacing w:after="120" w:line="240" w:lineRule="auto"/>
        <w:ind w:left="567" w:right="260"/>
        <w:jc w:val="both"/>
        <w:rPr>
          <w:rFonts w:ascii="Arial" w:hAnsi="Arial" w:cs="Arial"/>
          <w:b/>
        </w:rPr>
      </w:pPr>
      <w:r>
        <w:rPr>
          <w:rFonts w:ascii="Arial" w:hAnsi="Arial" w:cs="Arial"/>
          <w:bCs/>
        </w:rPr>
        <w:t>BUSN6</w:t>
      </w:r>
      <w:r w:rsidR="00FC6B92">
        <w:rPr>
          <w:rFonts w:ascii="Arial" w:hAnsi="Arial" w:cs="Arial"/>
          <w:bCs/>
        </w:rPr>
        <w:t>014</w:t>
      </w:r>
      <w:r>
        <w:rPr>
          <w:rFonts w:ascii="Arial" w:hAnsi="Arial" w:cs="Arial"/>
          <w:bCs/>
        </w:rPr>
        <w:t xml:space="preserve">: </w:t>
      </w:r>
      <w:r w:rsidR="005E634A" w:rsidRPr="00A20FF7">
        <w:rPr>
          <w:rFonts w:ascii="Arial" w:hAnsi="Arial" w:cs="Arial"/>
          <w:bCs/>
        </w:rPr>
        <w:t>Futures and Options Markets</w:t>
      </w:r>
    </w:p>
    <w:p w14:paraId="2E47B80F" w14:textId="77777777" w:rsidR="00154D48" w:rsidRPr="00154D48" w:rsidRDefault="00154D48" w:rsidP="00154D48">
      <w:pPr>
        <w:spacing w:after="120" w:line="240" w:lineRule="auto"/>
        <w:ind w:left="567" w:right="260"/>
        <w:jc w:val="both"/>
        <w:rPr>
          <w:rFonts w:ascii="Arial" w:hAnsi="Arial" w:cs="Arial"/>
        </w:rPr>
      </w:pPr>
    </w:p>
    <w:p w14:paraId="106CD053" w14:textId="33EEA16B" w:rsidR="009A2D37" w:rsidRPr="00302082" w:rsidRDefault="00E97530"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3980AE75" w14:textId="34AE92B0" w:rsidR="009A2D37" w:rsidRPr="00154D48" w:rsidRDefault="005E634A" w:rsidP="00154D48">
      <w:pPr>
        <w:spacing w:after="120" w:line="240" w:lineRule="auto"/>
        <w:ind w:left="567" w:right="260"/>
        <w:rPr>
          <w:rFonts w:ascii="Arial" w:hAnsi="Arial" w:cs="Arial"/>
          <w:iCs/>
        </w:rPr>
      </w:pPr>
      <w:r>
        <w:rPr>
          <w:rFonts w:ascii="Arial" w:hAnsi="Arial" w:cs="Arial"/>
          <w:iCs/>
        </w:rPr>
        <w:t>Kent Business School</w:t>
      </w:r>
    </w:p>
    <w:p w14:paraId="18B1A216" w14:textId="77777777" w:rsidR="00154D48" w:rsidRPr="00154D48" w:rsidRDefault="00154D48" w:rsidP="00154D48">
      <w:pPr>
        <w:spacing w:after="120" w:line="240" w:lineRule="auto"/>
        <w:ind w:left="567" w:right="260"/>
        <w:rPr>
          <w:rFonts w:ascii="Arial" w:hAnsi="Arial" w:cs="Arial"/>
          <w:iCs/>
        </w:rPr>
      </w:pPr>
    </w:p>
    <w:p w14:paraId="71A3E8D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827E7C1" w14:textId="64B34928" w:rsidR="009A2D37" w:rsidRPr="00154D48" w:rsidRDefault="005E634A" w:rsidP="00154D48">
      <w:pPr>
        <w:spacing w:after="120" w:line="240" w:lineRule="auto"/>
        <w:ind w:left="567" w:right="260"/>
        <w:rPr>
          <w:rFonts w:ascii="Arial" w:hAnsi="Arial" w:cs="Arial"/>
        </w:rPr>
      </w:pPr>
      <w:r>
        <w:rPr>
          <w:rFonts w:ascii="Arial" w:hAnsi="Arial" w:cs="Arial"/>
        </w:rPr>
        <w:t xml:space="preserve">Level 6 </w:t>
      </w:r>
    </w:p>
    <w:p w14:paraId="6DF2AFC0" w14:textId="77777777" w:rsidR="00154D48" w:rsidRPr="00154D48" w:rsidRDefault="00154D48" w:rsidP="00154D48">
      <w:pPr>
        <w:spacing w:after="120" w:line="240" w:lineRule="auto"/>
        <w:ind w:left="567" w:right="260"/>
        <w:rPr>
          <w:rFonts w:ascii="Arial" w:hAnsi="Arial" w:cs="Arial"/>
          <w:iCs/>
        </w:rPr>
      </w:pPr>
    </w:p>
    <w:p w14:paraId="124D546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BAB025A" w14:textId="0F9DFFBD" w:rsidR="009A2D37" w:rsidRPr="00154D48" w:rsidRDefault="004F1A4D" w:rsidP="00154D48">
      <w:pPr>
        <w:spacing w:after="120" w:line="240" w:lineRule="auto"/>
        <w:ind w:left="567" w:right="260"/>
        <w:rPr>
          <w:rFonts w:ascii="Arial" w:hAnsi="Arial" w:cs="Arial"/>
        </w:rPr>
      </w:pPr>
      <w:r>
        <w:rPr>
          <w:rFonts w:ascii="Arial" w:hAnsi="Arial" w:cs="Arial"/>
        </w:rPr>
        <w:t>15</w:t>
      </w:r>
      <w:r w:rsidR="005E634A">
        <w:rPr>
          <w:rFonts w:ascii="Arial" w:hAnsi="Arial" w:cs="Arial"/>
        </w:rPr>
        <w:t xml:space="preserve"> credit (</w:t>
      </w:r>
      <w:r>
        <w:rPr>
          <w:rFonts w:ascii="Arial" w:hAnsi="Arial" w:cs="Arial"/>
        </w:rPr>
        <w:t>7.</w:t>
      </w:r>
      <w:r w:rsidR="005E634A">
        <w:rPr>
          <w:rFonts w:ascii="Arial" w:hAnsi="Arial" w:cs="Arial"/>
        </w:rPr>
        <w:t>5 ECT</w:t>
      </w:r>
      <w:r w:rsidR="00AE62FC">
        <w:rPr>
          <w:rFonts w:ascii="Arial" w:hAnsi="Arial" w:cs="Arial"/>
        </w:rPr>
        <w:t>S</w:t>
      </w:r>
      <w:r w:rsidR="005E634A">
        <w:rPr>
          <w:rFonts w:ascii="Arial" w:hAnsi="Arial" w:cs="Arial"/>
        </w:rPr>
        <w:t>)</w:t>
      </w:r>
    </w:p>
    <w:p w14:paraId="2A860CDD" w14:textId="77777777" w:rsidR="00154D48" w:rsidRPr="00154D48" w:rsidRDefault="00154D48" w:rsidP="00154D48">
      <w:pPr>
        <w:spacing w:after="120" w:line="240" w:lineRule="auto"/>
        <w:ind w:left="567" w:right="260"/>
        <w:rPr>
          <w:rFonts w:ascii="Arial" w:hAnsi="Arial" w:cs="Arial"/>
        </w:rPr>
      </w:pPr>
    </w:p>
    <w:p w14:paraId="73A84FC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B0968CD" w14:textId="79CCCBD8" w:rsidR="009A2D37" w:rsidRDefault="00D06AC3" w:rsidP="00154D48">
      <w:pPr>
        <w:spacing w:after="120" w:line="240" w:lineRule="auto"/>
        <w:ind w:left="567" w:right="260"/>
        <w:rPr>
          <w:rFonts w:ascii="Arial" w:hAnsi="Arial" w:cs="Arial"/>
          <w:iCs/>
        </w:rPr>
      </w:pPr>
      <w:r>
        <w:rPr>
          <w:rFonts w:ascii="Arial" w:hAnsi="Arial" w:cs="Arial"/>
          <w:iCs/>
        </w:rPr>
        <w:t>Autumn</w:t>
      </w:r>
    </w:p>
    <w:p w14:paraId="40B51CEC" w14:textId="77777777" w:rsidR="008C6CBE" w:rsidRPr="00154D48" w:rsidRDefault="008C6CBE" w:rsidP="00154D48">
      <w:pPr>
        <w:spacing w:after="120" w:line="240" w:lineRule="auto"/>
        <w:ind w:left="567" w:right="260"/>
        <w:rPr>
          <w:rFonts w:ascii="Arial" w:hAnsi="Arial" w:cs="Arial"/>
          <w:iCs/>
        </w:rPr>
      </w:pPr>
    </w:p>
    <w:p w14:paraId="3145B4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A29116B" w14:textId="49491245" w:rsidR="009A2D37" w:rsidRPr="00154D48" w:rsidRDefault="005E634A" w:rsidP="00154D48">
      <w:pPr>
        <w:spacing w:after="120" w:line="240" w:lineRule="auto"/>
        <w:ind w:left="567" w:right="260"/>
        <w:rPr>
          <w:rFonts w:ascii="Arial" w:hAnsi="Arial" w:cs="Arial"/>
          <w:iCs/>
        </w:rPr>
      </w:pPr>
      <w:r>
        <w:rPr>
          <w:rFonts w:ascii="Arial" w:hAnsi="Arial" w:cs="Arial"/>
          <w:iCs/>
        </w:rPr>
        <w:t>AC</w:t>
      </w:r>
      <w:r w:rsidR="00E97530">
        <w:rPr>
          <w:rFonts w:ascii="Arial" w:hAnsi="Arial" w:cs="Arial"/>
          <w:iCs/>
        </w:rPr>
        <w:t>CT</w:t>
      </w:r>
      <w:r>
        <w:rPr>
          <w:rFonts w:ascii="Arial" w:hAnsi="Arial" w:cs="Arial"/>
          <w:iCs/>
        </w:rPr>
        <w:t>5</w:t>
      </w:r>
      <w:r w:rsidR="00014EF8">
        <w:rPr>
          <w:rFonts w:ascii="Arial" w:hAnsi="Arial" w:cs="Arial"/>
          <w:iCs/>
        </w:rPr>
        <w:t>23</w:t>
      </w:r>
      <w:r w:rsidR="00E97530">
        <w:rPr>
          <w:rFonts w:ascii="Arial" w:hAnsi="Arial" w:cs="Arial"/>
          <w:iCs/>
        </w:rPr>
        <w:t>0</w:t>
      </w:r>
      <w:r>
        <w:rPr>
          <w:rFonts w:ascii="Arial" w:hAnsi="Arial" w:cs="Arial"/>
          <w:iCs/>
        </w:rPr>
        <w:t xml:space="preserve"> – Principles of Finance, Co-requisite: None</w:t>
      </w:r>
    </w:p>
    <w:p w14:paraId="748E2E0E" w14:textId="77777777" w:rsidR="00154D48" w:rsidRPr="00154D48" w:rsidRDefault="00154D48" w:rsidP="00154D48">
      <w:pPr>
        <w:spacing w:after="120" w:line="240" w:lineRule="auto"/>
        <w:ind w:left="567" w:right="260"/>
        <w:rPr>
          <w:rFonts w:ascii="Arial" w:hAnsi="Arial" w:cs="Arial"/>
          <w:iCs/>
        </w:rPr>
      </w:pPr>
    </w:p>
    <w:p w14:paraId="0D89B66A" w14:textId="383F3B25"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E97530">
        <w:rPr>
          <w:rFonts w:ascii="Arial" w:hAnsi="Arial" w:cs="Arial"/>
          <w:b/>
        </w:rPr>
        <w:t>cours</w:t>
      </w:r>
      <w:r w:rsidRPr="00302082">
        <w:rPr>
          <w:rFonts w:ascii="Arial" w:hAnsi="Arial" w:cs="Arial"/>
          <w:b/>
        </w:rPr>
        <w:t>es of study to which the module contributes</w:t>
      </w:r>
    </w:p>
    <w:p w14:paraId="7727C690" w14:textId="0B84C495" w:rsidR="009A2D37" w:rsidRPr="00154D48" w:rsidRDefault="005E634A" w:rsidP="00154D48">
      <w:pPr>
        <w:spacing w:after="120" w:line="240" w:lineRule="auto"/>
        <w:ind w:left="567" w:right="260"/>
        <w:rPr>
          <w:rFonts w:ascii="Arial" w:hAnsi="Arial" w:cs="Arial"/>
          <w:iCs/>
        </w:rPr>
      </w:pPr>
      <w:r>
        <w:rPr>
          <w:rFonts w:ascii="Arial" w:hAnsi="Arial" w:cs="Arial"/>
          <w:iCs/>
        </w:rPr>
        <w:t>B</w:t>
      </w:r>
      <w:r w:rsidR="004F1A4D">
        <w:rPr>
          <w:rFonts w:ascii="Arial" w:hAnsi="Arial" w:cs="Arial"/>
          <w:iCs/>
        </w:rPr>
        <w:t>Sc</w:t>
      </w:r>
      <w:r>
        <w:rPr>
          <w:rFonts w:ascii="Arial" w:hAnsi="Arial" w:cs="Arial"/>
          <w:iCs/>
        </w:rPr>
        <w:t xml:space="preserve"> Accounting and Finance, Single and Joint Honours</w:t>
      </w:r>
    </w:p>
    <w:p w14:paraId="4BF97C25" w14:textId="77777777" w:rsidR="00154D48" w:rsidRPr="00154D48" w:rsidRDefault="00154D48" w:rsidP="00154D48">
      <w:pPr>
        <w:spacing w:after="120" w:line="240" w:lineRule="auto"/>
        <w:ind w:left="567" w:right="260"/>
        <w:rPr>
          <w:rFonts w:ascii="Arial" w:hAnsi="Arial" w:cs="Arial"/>
          <w:iCs/>
        </w:rPr>
      </w:pPr>
    </w:p>
    <w:p w14:paraId="3D1C7EC5"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6374EF1" w14:textId="0AE537FB" w:rsidR="008C6CBE" w:rsidRPr="008C6CBE" w:rsidRDefault="008C6CBE" w:rsidP="008C6CBE">
      <w:pPr>
        <w:spacing w:after="120" w:line="240" w:lineRule="auto"/>
        <w:ind w:left="1437" w:right="260" w:hanging="870"/>
        <w:rPr>
          <w:rFonts w:ascii="Arial" w:hAnsi="Arial" w:cs="Arial"/>
        </w:rPr>
      </w:pPr>
      <w:r>
        <w:rPr>
          <w:rFonts w:ascii="Arial" w:hAnsi="Arial" w:cs="Arial"/>
        </w:rPr>
        <w:t>8.1</w:t>
      </w:r>
      <w:r>
        <w:rPr>
          <w:rFonts w:ascii="Arial" w:hAnsi="Arial" w:cs="Arial"/>
        </w:rPr>
        <w:tab/>
      </w:r>
      <w:r w:rsidRPr="008C6CBE">
        <w:rPr>
          <w:rFonts w:ascii="Arial" w:hAnsi="Arial" w:cs="Arial"/>
        </w:rPr>
        <w:t xml:space="preserve">Demonstrate </w:t>
      </w:r>
      <w:r w:rsidR="00973FD2">
        <w:rPr>
          <w:rFonts w:ascii="Arial" w:hAnsi="Arial" w:cs="Arial"/>
        </w:rPr>
        <w:t xml:space="preserve">in depth </w:t>
      </w:r>
      <w:r w:rsidRPr="008C6CBE">
        <w:rPr>
          <w:rFonts w:ascii="Arial" w:hAnsi="Arial" w:cs="Arial"/>
        </w:rPr>
        <w:t>knowledge and understanding of various financial derivative instruments and risk management techniques in the context of International Investment Banking</w:t>
      </w:r>
      <w:r w:rsidR="00973FD2">
        <w:rPr>
          <w:rFonts w:ascii="Arial" w:hAnsi="Arial" w:cs="Arial"/>
        </w:rPr>
        <w:t>.</w:t>
      </w:r>
    </w:p>
    <w:p w14:paraId="4769B452" w14:textId="7B4593C8" w:rsidR="008C6CBE" w:rsidRPr="008C6CBE" w:rsidRDefault="008C6CBE" w:rsidP="008C6CBE">
      <w:pPr>
        <w:spacing w:after="120" w:line="240" w:lineRule="auto"/>
        <w:ind w:left="1437" w:right="260" w:hanging="870"/>
        <w:rPr>
          <w:rFonts w:ascii="Arial" w:hAnsi="Arial" w:cs="Arial"/>
        </w:rPr>
      </w:pPr>
      <w:r>
        <w:rPr>
          <w:rFonts w:ascii="Arial" w:hAnsi="Arial" w:cs="Arial"/>
        </w:rPr>
        <w:t>8.2</w:t>
      </w:r>
      <w:r>
        <w:rPr>
          <w:rFonts w:ascii="Arial" w:hAnsi="Arial" w:cs="Arial"/>
        </w:rPr>
        <w:tab/>
      </w:r>
      <w:r w:rsidRPr="008C6CBE">
        <w:rPr>
          <w:rFonts w:ascii="Arial" w:hAnsi="Arial" w:cs="Arial"/>
        </w:rPr>
        <w:t xml:space="preserve">Demonstrate knowledge and understanding of </w:t>
      </w:r>
      <w:r w:rsidR="00973FD2">
        <w:rPr>
          <w:rFonts w:ascii="Arial" w:hAnsi="Arial" w:cs="Arial"/>
        </w:rPr>
        <w:t xml:space="preserve">complex </w:t>
      </w:r>
      <w:r w:rsidRPr="008C6CBE">
        <w:rPr>
          <w:rFonts w:ascii="Arial" w:hAnsi="Arial" w:cs="Arial"/>
        </w:rPr>
        <w:t>concepts and principles under which financial derivative instruments are traded</w:t>
      </w:r>
      <w:r w:rsidR="00973FD2">
        <w:rPr>
          <w:rFonts w:ascii="Arial" w:hAnsi="Arial" w:cs="Arial"/>
        </w:rPr>
        <w:t>.</w:t>
      </w:r>
    </w:p>
    <w:p w14:paraId="3D3789A7" w14:textId="4FE2BF32" w:rsidR="008C6CBE" w:rsidRPr="008C6CBE" w:rsidRDefault="008C6CBE" w:rsidP="008C6CBE">
      <w:pPr>
        <w:spacing w:after="120" w:line="240" w:lineRule="auto"/>
        <w:ind w:left="1437" w:right="260" w:hanging="870"/>
        <w:rPr>
          <w:rFonts w:ascii="Arial" w:hAnsi="Arial" w:cs="Arial"/>
        </w:rPr>
      </w:pPr>
      <w:r>
        <w:rPr>
          <w:rFonts w:ascii="Arial" w:hAnsi="Arial" w:cs="Arial"/>
        </w:rPr>
        <w:t>8.3</w:t>
      </w:r>
      <w:r>
        <w:rPr>
          <w:rFonts w:ascii="Arial" w:hAnsi="Arial" w:cs="Arial"/>
        </w:rPr>
        <w:tab/>
      </w:r>
      <w:r w:rsidRPr="008C6CBE">
        <w:rPr>
          <w:rFonts w:ascii="Arial" w:hAnsi="Arial" w:cs="Arial"/>
        </w:rPr>
        <w:t xml:space="preserve">Use subject knowledge to </w:t>
      </w:r>
      <w:r w:rsidR="00973FD2">
        <w:rPr>
          <w:rFonts w:ascii="Arial" w:hAnsi="Arial" w:cs="Arial"/>
        </w:rPr>
        <w:t xml:space="preserve">critically </w:t>
      </w:r>
      <w:r w:rsidRPr="008C6CBE">
        <w:rPr>
          <w:rFonts w:ascii="Arial" w:hAnsi="Arial" w:cs="Arial"/>
        </w:rPr>
        <w:t>analyse the problem and provide a reasoned response to that problem in the context of risk management</w:t>
      </w:r>
      <w:r w:rsidR="00973FD2">
        <w:rPr>
          <w:rFonts w:ascii="Arial" w:hAnsi="Arial" w:cs="Arial"/>
        </w:rPr>
        <w:t>.</w:t>
      </w:r>
    </w:p>
    <w:p w14:paraId="0938118E" w14:textId="3B68C0D0" w:rsidR="00273CF0" w:rsidRDefault="008C6CBE" w:rsidP="008C6CBE">
      <w:pPr>
        <w:spacing w:after="120" w:line="240" w:lineRule="auto"/>
        <w:ind w:left="1437" w:right="260" w:hanging="870"/>
        <w:rPr>
          <w:rFonts w:ascii="Arial" w:hAnsi="Arial" w:cs="Arial"/>
        </w:rPr>
      </w:pPr>
      <w:r>
        <w:rPr>
          <w:rFonts w:ascii="Arial" w:hAnsi="Arial" w:cs="Arial"/>
        </w:rPr>
        <w:t>8.4</w:t>
      </w:r>
      <w:r>
        <w:rPr>
          <w:rFonts w:ascii="Arial" w:hAnsi="Arial" w:cs="Arial"/>
        </w:rPr>
        <w:tab/>
      </w:r>
      <w:r w:rsidRPr="008C6CBE">
        <w:rPr>
          <w:rFonts w:ascii="Arial" w:hAnsi="Arial" w:cs="Arial"/>
        </w:rPr>
        <w:t xml:space="preserve">Compare and contrast </w:t>
      </w:r>
      <w:r w:rsidR="00973FD2">
        <w:rPr>
          <w:rFonts w:ascii="Arial" w:hAnsi="Arial" w:cs="Arial"/>
        </w:rPr>
        <w:t>complex</w:t>
      </w:r>
      <w:r w:rsidRPr="008C6CBE">
        <w:rPr>
          <w:rFonts w:ascii="Arial" w:hAnsi="Arial" w:cs="Arial"/>
        </w:rPr>
        <w:t xml:space="preserve"> risk management strategies and prepare appropriate payoff diagrams to reflect various trading strategies.</w:t>
      </w:r>
    </w:p>
    <w:p w14:paraId="01846493" w14:textId="77777777" w:rsidR="008C6CBE" w:rsidRPr="00154D48" w:rsidRDefault="008C6CBE" w:rsidP="008C6CBE">
      <w:pPr>
        <w:spacing w:after="120" w:line="240" w:lineRule="auto"/>
        <w:ind w:left="567" w:right="260"/>
        <w:rPr>
          <w:rFonts w:ascii="Arial" w:hAnsi="Arial" w:cs="Arial"/>
        </w:rPr>
      </w:pPr>
    </w:p>
    <w:p w14:paraId="503C1681"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D0DA260" w14:textId="705EF8DD" w:rsidR="008C6CBE" w:rsidRPr="008C6CBE" w:rsidRDefault="008C6CBE" w:rsidP="008C6CBE">
      <w:pPr>
        <w:pStyle w:val="Default"/>
        <w:spacing w:after="120"/>
        <w:ind w:left="567" w:right="260"/>
        <w:rPr>
          <w:color w:val="auto"/>
          <w:sz w:val="22"/>
          <w:szCs w:val="22"/>
        </w:rPr>
      </w:pPr>
      <w:r w:rsidRPr="008C6CBE">
        <w:rPr>
          <w:color w:val="auto"/>
          <w:sz w:val="22"/>
          <w:szCs w:val="22"/>
        </w:rPr>
        <w:t>9.1</w:t>
      </w:r>
      <w:r w:rsidRPr="008C6CBE">
        <w:rPr>
          <w:color w:val="auto"/>
          <w:sz w:val="22"/>
          <w:szCs w:val="22"/>
        </w:rPr>
        <w:tab/>
        <w:t>Apply numeracy skills to solve</w:t>
      </w:r>
      <w:r w:rsidR="00973FD2">
        <w:rPr>
          <w:color w:val="auto"/>
          <w:sz w:val="22"/>
          <w:szCs w:val="22"/>
        </w:rPr>
        <w:t xml:space="preserve"> complex</w:t>
      </w:r>
      <w:r w:rsidRPr="008C6CBE">
        <w:rPr>
          <w:color w:val="auto"/>
          <w:sz w:val="22"/>
          <w:szCs w:val="22"/>
        </w:rPr>
        <w:t xml:space="preserve"> numerical problem</w:t>
      </w:r>
      <w:r w:rsidR="00973FD2">
        <w:rPr>
          <w:color w:val="auto"/>
          <w:sz w:val="22"/>
          <w:szCs w:val="22"/>
        </w:rPr>
        <w:t>s.</w:t>
      </w:r>
    </w:p>
    <w:p w14:paraId="1F1B1824" w14:textId="4CE2B6FC" w:rsidR="008C6CBE" w:rsidRPr="008C6CBE" w:rsidRDefault="008C6CBE" w:rsidP="008C6CBE">
      <w:pPr>
        <w:pStyle w:val="Default"/>
        <w:spacing w:after="120"/>
        <w:ind w:left="1437" w:right="260" w:hanging="870"/>
        <w:rPr>
          <w:color w:val="auto"/>
          <w:sz w:val="22"/>
          <w:szCs w:val="22"/>
        </w:rPr>
      </w:pPr>
      <w:r w:rsidRPr="008C6CBE">
        <w:rPr>
          <w:color w:val="auto"/>
          <w:sz w:val="22"/>
          <w:szCs w:val="22"/>
        </w:rPr>
        <w:t>9.2</w:t>
      </w:r>
      <w:r w:rsidRPr="008C6CBE">
        <w:rPr>
          <w:color w:val="auto"/>
          <w:sz w:val="22"/>
          <w:szCs w:val="22"/>
        </w:rPr>
        <w:tab/>
        <w:t>Develop and define complex argument and provide critical insights on the use of financial instruments and risk management</w:t>
      </w:r>
      <w:r w:rsidR="00973FD2">
        <w:rPr>
          <w:color w:val="auto"/>
          <w:sz w:val="22"/>
          <w:szCs w:val="22"/>
        </w:rPr>
        <w:t>.</w:t>
      </w:r>
    </w:p>
    <w:p w14:paraId="6D79D9B1" w14:textId="73C23434" w:rsidR="008C6CBE" w:rsidRPr="008C6CBE" w:rsidRDefault="008C6CBE" w:rsidP="008C6CBE">
      <w:pPr>
        <w:pStyle w:val="Default"/>
        <w:spacing w:after="120"/>
        <w:ind w:left="1437" w:right="260" w:hanging="870"/>
        <w:rPr>
          <w:color w:val="auto"/>
          <w:sz w:val="22"/>
          <w:szCs w:val="22"/>
        </w:rPr>
      </w:pPr>
      <w:r w:rsidRPr="008C6CBE">
        <w:rPr>
          <w:color w:val="auto"/>
          <w:sz w:val="22"/>
          <w:szCs w:val="22"/>
        </w:rPr>
        <w:t>9.3</w:t>
      </w:r>
      <w:r w:rsidRPr="008C6CBE">
        <w:rPr>
          <w:color w:val="auto"/>
          <w:sz w:val="22"/>
          <w:szCs w:val="22"/>
        </w:rPr>
        <w:tab/>
        <w:t xml:space="preserve">Read and </w:t>
      </w:r>
      <w:r w:rsidR="00973FD2">
        <w:rPr>
          <w:color w:val="auto"/>
          <w:sz w:val="22"/>
          <w:szCs w:val="22"/>
        </w:rPr>
        <w:t xml:space="preserve">critically </w:t>
      </w:r>
      <w:r w:rsidRPr="008C6CBE">
        <w:rPr>
          <w:color w:val="auto"/>
          <w:sz w:val="22"/>
          <w:szCs w:val="22"/>
        </w:rPr>
        <w:t>summarise transactions and economic events related to financial management and derivative securities</w:t>
      </w:r>
      <w:r w:rsidR="00973FD2">
        <w:rPr>
          <w:color w:val="auto"/>
          <w:sz w:val="22"/>
          <w:szCs w:val="22"/>
        </w:rPr>
        <w:t>.</w:t>
      </w:r>
    </w:p>
    <w:p w14:paraId="2C3830E6" w14:textId="62F90A99" w:rsidR="009A2D37" w:rsidRDefault="008C6CBE" w:rsidP="00185106">
      <w:pPr>
        <w:pStyle w:val="Default"/>
        <w:spacing w:after="120"/>
        <w:ind w:left="1437" w:right="260" w:hanging="868"/>
        <w:rPr>
          <w:color w:val="auto"/>
          <w:sz w:val="22"/>
          <w:szCs w:val="22"/>
        </w:rPr>
      </w:pPr>
      <w:r w:rsidRPr="008C6CBE">
        <w:rPr>
          <w:color w:val="auto"/>
          <w:sz w:val="22"/>
          <w:szCs w:val="22"/>
        </w:rPr>
        <w:lastRenderedPageBreak/>
        <w:t>9.4</w:t>
      </w:r>
      <w:r w:rsidRPr="008C6CBE">
        <w:rPr>
          <w:color w:val="auto"/>
          <w:sz w:val="22"/>
          <w:szCs w:val="22"/>
        </w:rPr>
        <w:tab/>
        <w:t xml:space="preserve">Use information technology to acquire, </w:t>
      </w:r>
      <w:r w:rsidR="00973FD2">
        <w:rPr>
          <w:color w:val="auto"/>
          <w:sz w:val="22"/>
          <w:szCs w:val="22"/>
        </w:rPr>
        <w:t xml:space="preserve">systematically </w:t>
      </w:r>
      <w:r w:rsidRPr="008C6CBE">
        <w:rPr>
          <w:color w:val="auto"/>
          <w:sz w:val="22"/>
          <w:szCs w:val="22"/>
        </w:rPr>
        <w:t>analyse, and communicate</w:t>
      </w:r>
      <w:r w:rsidR="00AE62FC">
        <w:rPr>
          <w:color w:val="auto"/>
          <w:sz w:val="22"/>
          <w:szCs w:val="22"/>
        </w:rPr>
        <w:t xml:space="preserve"> e</w:t>
      </w:r>
      <w:r w:rsidRPr="008C6CBE">
        <w:rPr>
          <w:color w:val="auto"/>
          <w:sz w:val="22"/>
          <w:szCs w:val="22"/>
        </w:rPr>
        <w:t>ffectively</w:t>
      </w:r>
      <w:r w:rsidR="00973FD2">
        <w:rPr>
          <w:color w:val="auto"/>
          <w:sz w:val="22"/>
          <w:szCs w:val="22"/>
        </w:rPr>
        <w:t>.</w:t>
      </w:r>
    </w:p>
    <w:p w14:paraId="02B8BFD3" w14:textId="77777777" w:rsidR="00154D48" w:rsidRDefault="00154D48" w:rsidP="00154D48">
      <w:pPr>
        <w:pStyle w:val="Default"/>
        <w:spacing w:after="120"/>
        <w:ind w:left="567" w:right="260"/>
        <w:rPr>
          <w:color w:val="auto"/>
          <w:sz w:val="22"/>
          <w:szCs w:val="22"/>
        </w:rPr>
      </w:pPr>
    </w:p>
    <w:p w14:paraId="04A3B41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F20D623" w14:textId="77777777" w:rsidR="005A62E1" w:rsidRPr="00850677" w:rsidRDefault="005A62E1" w:rsidP="00850677">
      <w:pPr>
        <w:spacing w:before="60" w:after="60" w:line="240" w:lineRule="auto"/>
        <w:ind w:left="540" w:right="26"/>
        <w:jc w:val="both"/>
        <w:rPr>
          <w:rFonts w:ascii="Arial" w:hAnsi="Arial" w:cs="Arial"/>
          <w:iCs/>
        </w:rPr>
      </w:pPr>
      <w:r w:rsidRPr="00850677">
        <w:rPr>
          <w:rFonts w:ascii="Arial" w:hAnsi="Arial" w:cs="Arial"/>
          <w:iCs/>
        </w:rPr>
        <w:t>This module is concerned with International Investment Banks’ products and strategies that involve the description and analyses of the characteristics of more commonly used financial derivative instruments such as forward and future contracts, swaps, and options involving commodities, interest, and equities markets. Modern financial techniques are used to value financial derivatives. The main emphasis of the module is on how International Investment Banks value, replicate, and arbitrage the financial instruments and how they encourage their clients to use derivative products to implement risk management strategies in the context of corporate applications.</w:t>
      </w:r>
    </w:p>
    <w:p w14:paraId="79C3A77F" w14:textId="77777777" w:rsidR="005A62E1" w:rsidRPr="00850677" w:rsidRDefault="005A62E1" w:rsidP="00850677">
      <w:pPr>
        <w:spacing w:before="60" w:after="60" w:line="240" w:lineRule="auto"/>
        <w:ind w:left="540" w:right="26"/>
        <w:jc w:val="both"/>
        <w:rPr>
          <w:rFonts w:ascii="Arial" w:hAnsi="Arial" w:cs="Arial"/>
          <w:iCs/>
        </w:rPr>
      </w:pPr>
    </w:p>
    <w:p w14:paraId="61FDA879" w14:textId="0A286285" w:rsidR="005A62E1" w:rsidRPr="00850677" w:rsidRDefault="005A62E1" w:rsidP="00850677">
      <w:pPr>
        <w:spacing w:before="60" w:after="60" w:line="240" w:lineRule="auto"/>
        <w:ind w:left="540" w:right="26"/>
        <w:jc w:val="both"/>
        <w:rPr>
          <w:rFonts w:ascii="Arial" w:hAnsi="Arial" w:cs="Arial"/>
          <w:iCs/>
        </w:rPr>
      </w:pPr>
      <w:r w:rsidRPr="00850677">
        <w:rPr>
          <w:rFonts w:ascii="Arial" w:hAnsi="Arial" w:cs="Arial"/>
          <w:iCs/>
        </w:rPr>
        <w:t>In particular, students will first cover the topics related to forward, futures. They will then be introduced to options and various strategies thereof. Valuing options using Black-Scholes model and binomial trees is also an important part of the module. The important finance concepts of no-arbitrage and risk-neutral valuation and their implications for pricing financial derivatives are also covered in the module. This will help students to learn the techniques used in valuing financial derivatives and hedging risk exposure.</w:t>
      </w:r>
    </w:p>
    <w:p w14:paraId="1740467A" w14:textId="77777777" w:rsidR="009A2D37" w:rsidRPr="00154D48" w:rsidRDefault="009A2D37" w:rsidP="00154D48">
      <w:pPr>
        <w:spacing w:after="120" w:line="240" w:lineRule="auto"/>
        <w:ind w:left="567" w:right="260"/>
        <w:rPr>
          <w:rFonts w:ascii="Arial" w:hAnsi="Arial" w:cs="Arial"/>
          <w:iCs/>
        </w:rPr>
      </w:pPr>
    </w:p>
    <w:p w14:paraId="7E5A46BA" w14:textId="752A005D"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p>
    <w:p w14:paraId="10EA68D9" w14:textId="77777777" w:rsidR="00E97530" w:rsidRPr="00E97530" w:rsidRDefault="00E97530" w:rsidP="00E97530">
      <w:pPr>
        <w:ind w:left="567"/>
        <w:rPr>
          <w:rFonts w:ascii="Arial" w:hAnsi="Arial" w:cs="Arial"/>
        </w:rPr>
      </w:pPr>
      <w:r w:rsidRPr="00E97530">
        <w:rPr>
          <w:rFonts w:ascii="Arial" w:hAnsi="Arial" w:cs="Arial"/>
        </w:rPr>
        <w:t xml:space="preserve">The University is committed to ensuring that core reading materials are in accessible electronic format in line with the Kent Inclusive Practices. </w:t>
      </w:r>
    </w:p>
    <w:p w14:paraId="42CB537F" w14:textId="1C3EED1C" w:rsidR="00334C94" w:rsidRPr="00E97530" w:rsidRDefault="00E97530" w:rsidP="00E97530">
      <w:pPr>
        <w:ind w:left="567"/>
        <w:rPr>
          <w:rFonts w:ascii="Arial" w:hAnsi="Arial" w:cs="Arial"/>
        </w:rPr>
      </w:pPr>
      <w:r w:rsidRPr="00E97530">
        <w:rPr>
          <w:rFonts w:ascii="Arial" w:hAnsi="Arial" w:cs="Arial"/>
        </w:rPr>
        <w:t xml:space="preserve">The most up to date reading list for each module can be found on the university's </w:t>
      </w:r>
      <w:hyperlink r:id="rId8" w:history="1">
        <w:r w:rsidRPr="00E97530">
          <w:rPr>
            <w:rStyle w:val="Hyperlink"/>
            <w:rFonts w:ascii="Arial" w:hAnsi="Arial" w:cs="Arial"/>
          </w:rPr>
          <w:t>reading list pages</w:t>
        </w:r>
      </w:hyperlink>
      <w:r w:rsidRPr="00E97530">
        <w:rPr>
          <w:rFonts w:ascii="Arial" w:hAnsi="Arial" w:cs="Arial"/>
        </w:rPr>
        <w:t>.</w:t>
      </w:r>
    </w:p>
    <w:p w14:paraId="30790B80" w14:textId="081A8D90" w:rsidR="00883204" w:rsidRPr="008C6CBE" w:rsidRDefault="00E97530" w:rsidP="00696FF5">
      <w:pPr>
        <w:numPr>
          <w:ilvl w:val="0"/>
          <w:numId w:val="1"/>
        </w:numPr>
        <w:spacing w:after="120" w:line="240" w:lineRule="auto"/>
        <w:ind w:left="567" w:right="260" w:hanging="567"/>
        <w:rPr>
          <w:rFonts w:ascii="Arial" w:hAnsi="Arial" w:cs="Arial"/>
          <w:i/>
          <w:iCs/>
        </w:rPr>
      </w:pPr>
      <w:r>
        <w:rPr>
          <w:rFonts w:ascii="Arial" w:hAnsi="Arial" w:cs="Arial"/>
          <w:b/>
        </w:rPr>
        <w:t>Contact hours</w:t>
      </w:r>
    </w:p>
    <w:p w14:paraId="17F8CC8F" w14:textId="77777777" w:rsidR="00A45375" w:rsidRPr="00A45375" w:rsidRDefault="00A45375" w:rsidP="00A45375">
      <w:pPr>
        <w:spacing w:after="120" w:line="240" w:lineRule="auto"/>
        <w:ind w:right="260" w:firstLine="567"/>
        <w:rPr>
          <w:rFonts w:ascii="Arial" w:hAnsi="Arial" w:cs="Arial"/>
          <w:iCs/>
        </w:rPr>
      </w:pPr>
      <w:r w:rsidRPr="00A45375">
        <w:rPr>
          <w:rFonts w:ascii="Arial" w:hAnsi="Arial" w:cs="Arial"/>
          <w:iCs/>
        </w:rPr>
        <w:t>Private study hours: 116</w:t>
      </w:r>
    </w:p>
    <w:p w14:paraId="14F5CA98" w14:textId="2201243D" w:rsidR="008C6CBE" w:rsidRPr="008C6CBE" w:rsidRDefault="008C6CBE" w:rsidP="008C6CBE">
      <w:pPr>
        <w:spacing w:after="120" w:line="240" w:lineRule="auto"/>
        <w:ind w:left="567" w:right="260"/>
        <w:rPr>
          <w:rFonts w:ascii="Arial" w:hAnsi="Arial" w:cs="Arial"/>
          <w:iCs/>
        </w:rPr>
      </w:pPr>
      <w:r w:rsidRPr="008C6CBE">
        <w:rPr>
          <w:rFonts w:ascii="Arial" w:hAnsi="Arial" w:cs="Arial"/>
          <w:iCs/>
        </w:rPr>
        <w:t>Total contact hours:</w:t>
      </w:r>
      <w:r>
        <w:rPr>
          <w:rFonts w:ascii="Arial" w:hAnsi="Arial" w:cs="Arial"/>
          <w:iCs/>
        </w:rPr>
        <w:t xml:space="preserve"> 3</w:t>
      </w:r>
      <w:r w:rsidR="00A45375">
        <w:rPr>
          <w:rFonts w:ascii="Arial" w:hAnsi="Arial" w:cs="Arial"/>
          <w:iCs/>
        </w:rPr>
        <w:t>4</w:t>
      </w:r>
    </w:p>
    <w:p w14:paraId="006C934D" w14:textId="4E5DF57C" w:rsidR="008C6CBE" w:rsidRPr="008C6CBE" w:rsidRDefault="008C6CBE" w:rsidP="008C6CBE">
      <w:pPr>
        <w:spacing w:after="120" w:line="240" w:lineRule="auto"/>
        <w:ind w:left="567" w:right="260"/>
        <w:rPr>
          <w:rFonts w:ascii="Arial" w:hAnsi="Arial" w:cs="Arial"/>
          <w:iCs/>
        </w:rPr>
      </w:pPr>
      <w:r w:rsidRPr="008C6CBE">
        <w:rPr>
          <w:rFonts w:ascii="Arial" w:hAnsi="Arial" w:cs="Arial"/>
          <w:iCs/>
        </w:rPr>
        <w:t xml:space="preserve">Total study hours: </w:t>
      </w:r>
      <w:r>
        <w:rPr>
          <w:rFonts w:ascii="Arial" w:hAnsi="Arial" w:cs="Arial"/>
          <w:iCs/>
        </w:rPr>
        <w:t>150</w:t>
      </w:r>
    </w:p>
    <w:p w14:paraId="2EBAF0DD" w14:textId="77777777" w:rsidR="009A2D37" w:rsidRPr="00154D48" w:rsidRDefault="009A2D37" w:rsidP="00154D48">
      <w:pPr>
        <w:spacing w:after="120" w:line="240" w:lineRule="auto"/>
        <w:ind w:left="567" w:right="260"/>
        <w:rPr>
          <w:rFonts w:ascii="Arial" w:hAnsi="Arial" w:cs="Arial"/>
          <w:iCs/>
        </w:rPr>
      </w:pPr>
    </w:p>
    <w:p w14:paraId="0D7D73FD"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0D75B79"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E0BA202" w14:textId="78C3667B" w:rsidR="008C6CBE" w:rsidRPr="008C6CBE" w:rsidRDefault="008C6CBE" w:rsidP="008C6CBE">
      <w:pPr>
        <w:spacing w:after="120" w:line="240" w:lineRule="auto"/>
        <w:ind w:right="260" w:firstLine="567"/>
        <w:rPr>
          <w:rFonts w:ascii="Arial" w:hAnsi="Arial" w:cs="Arial"/>
          <w:iCs/>
        </w:rPr>
      </w:pPr>
      <w:r w:rsidRPr="008C6CBE">
        <w:rPr>
          <w:rFonts w:ascii="Arial" w:hAnsi="Arial" w:cs="Arial"/>
          <w:iCs/>
        </w:rPr>
        <w:t>VLE test 1</w:t>
      </w:r>
      <w:r>
        <w:rPr>
          <w:rFonts w:ascii="Arial" w:hAnsi="Arial" w:cs="Arial"/>
          <w:iCs/>
        </w:rPr>
        <w:t xml:space="preserve"> (</w:t>
      </w:r>
      <w:r w:rsidRPr="008C6CBE">
        <w:rPr>
          <w:rFonts w:ascii="Arial" w:hAnsi="Arial" w:cs="Arial"/>
          <w:iCs/>
        </w:rPr>
        <w:t>15%</w:t>
      </w:r>
      <w:r>
        <w:rPr>
          <w:rFonts w:ascii="Arial" w:hAnsi="Arial" w:cs="Arial"/>
          <w:iCs/>
        </w:rPr>
        <w:t>)</w:t>
      </w:r>
    </w:p>
    <w:p w14:paraId="4AEBD3BA" w14:textId="18D40AE9" w:rsidR="00334C94" w:rsidRDefault="008C6CBE" w:rsidP="008C6CBE">
      <w:pPr>
        <w:spacing w:after="120" w:line="240" w:lineRule="auto"/>
        <w:ind w:right="260" w:firstLine="567"/>
        <w:rPr>
          <w:rFonts w:ascii="Arial" w:hAnsi="Arial" w:cs="Arial"/>
          <w:iCs/>
        </w:rPr>
      </w:pPr>
      <w:r w:rsidRPr="008C6CBE">
        <w:rPr>
          <w:rFonts w:ascii="Arial" w:hAnsi="Arial" w:cs="Arial"/>
          <w:iCs/>
        </w:rPr>
        <w:t>VLE test 2</w:t>
      </w:r>
      <w:r>
        <w:rPr>
          <w:rFonts w:ascii="Arial" w:hAnsi="Arial" w:cs="Arial"/>
          <w:iCs/>
        </w:rPr>
        <w:t xml:space="preserve"> (</w:t>
      </w:r>
      <w:r w:rsidRPr="008C6CBE">
        <w:rPr>
          <w:rFonts w:ascii="Arial" w:hAnsi="Arial" w:cs="Arial"/>
          <w:iCs/>
        </w:rPr>
        <w:t>15%</w:t>
      </w:r>
      <w:r>
        <w:rPr>
          <w:rFonts w:ascii="Arial" w:hAnsi="Arial" w:cs="Arial"/>
          <w:iCs/>
        </w:rPr>
        <w:t>)</w:t>
      </w:r>
      <w:r w:rsidRPr="008C6CBE">
        <w:rPr>
          <w:rFonts w:ascii="Arial" w:hAnsi="Arial" w:cs="Arial"/>
          <w:iCs/>
        </w:rPr>
        <w:tab/>
      </w:r>
    </w:p>
    <w:p w14:paraId="67608906" w14:textId="77777777" w:rsidR="00E97530" w:rsidRPr="008C6CBE" w:rsidRDefault="00E97530" w:rsidP="00E97530">
      <w:pPr>
        <w:spacing w:after="120" w:line="240" w:lineRule="auto"/>
        <w:ind w:right="260" w:firstLine="567"/>
        <w:rPr>
          <w:rFonts w:ascii="Arial" w:hAnsi="Arial" w:cs="Arial"/>
          <w:iCs/>
        </w:rPr>
      </w:pPr>
      <w:r>
        <w:rPr>
          <w:rFonts w:ascii="Arial" w:hAnsi="Arial" w:cs="Arial"/>
          <w:iCs/>
        </w:rPr>
        <w:t xml:space="preserve">Examination </w:t>
      </w:r>
      <w:r w:rsidRPr="008C6CBE">
        <w:rPr>
          <w:rFonts w:ascii="Arial" w:hAnsi="Arial" w:cs="Arial"/>
          <w:iCs/>
        </w:rPr>
        <w:t>– 2 hour closed book</w:t>
      </w:r>
      <w:r>
        <w:rPr>
          <w:rFonts w:ascii="Arial" w:hAnsi="Arial" w:cs="Arial"/>
          <w:iCs/>
        </w:rPr>
        <w:t xml:space="preserve"> (</w:t>
      </w:r>
      <w:r w:rsidRPr="008C6CBE">
        <w:rPr>
          <w:rFonts w:ascii="Arial" w:hAnsi="Arial" w:cs="Arial"/>
          <w:iCs/>
        </w:rPr>
        <w:t>70%</w:t>
      </w:r>
      <w:r>
        <w:rPr>
          <w:rFonts w:ascii="Arial" w:hAnsi="Arial" w:cs="Arial"/>
          <w:iCs/>
        </w:rPr>
        <w:t>)</w:t>
      </w:r>
    </w:p>
    <w:p w14:paraId="59305E50" w14:textId="77777777" w:rsidR="00EC23FE" w:rsidRPr="00154D48" w:rsidRDefault="00EC23FE" w:rsidP="00154D48">
      <w:pPr>
        <w:spacing w:after="120" w:line="240" w:lineRule="auto"/>
        <w:ind w:left="567" w:right="260"/>
        <w:rPr>
          <w:rFonts w:ascii="Arial" w:hAnsi="Arial" w:cs="Arial"/>
          <w:iCs/>
        </w:rPr>
      </w:pPr>
    </w:p>
    <w:p w14:paraId="19EF4169"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5A2813">
        <w:rPr>
          <w:rFonts w:ascii="Arial" w:hAnsi="Arial" w:cs="Arial"/>
          <w:iCs/>
        </w:rPr>
        <w:t>Reassessment methods</w:t>
      </w:r>
      <w:r w:rsidRPr="00696FF5">
        <w:rPr>
          <w:rFonts w:ascii="Arial" w:hAnsi="Arial" w:cs="Arial"/>
          <w:iCs/>
        </w:rPr>
        <w:t xml:space="preserve"> </w:t>
      </w:r>
    </w:p>
    <w:p w14:paraId="0AAD0714" w14:textId="48891ACE" w:rsidR="00B72470" w:rsidRPr="00154D48" w:rsidRDefault="000D14D0" w:rsidP="00154D48">
      <w:pPr>
        <w:spacing w:after="120" w:line="240" w:lineRule="auto"/>
        <w:ind w:left="567" w:right="260"/>
        <w:rPr>
          <w:rFonts w:ascii="Arial" w:hAnsi="Arial" w:cs="Arial"/>
          <w:iCs/>
        </w:rPr>
      </w:pPr>
      <w:r>
        <w:rPr>
          <w:rFonts w:ascii="Arial" w:hAnsi="Arial" w:cs="Arial"/>
          <w:iCs/>
        </w:rPr>
        <w:t xml:space="preserve">100% </w:t>
      </w:r>
      <w:r w:rsidR="00BC502B">
        <w:rPr>
          <w:rFonts w:ascii="Arial" w:hAnsi="Arial" w:cs="Arial"/>
          <w:iCs/>
        </w:rPr>
        <w:t xml:space="preserve">Exam </w:t>
      </w:r>
    </w:p>
    <w:p w14:paraId="2AF54B01" w14:textId="45B25E73" w:rsidR="00154D48" w:rsidRDefault="00154D48" w:rsidP="00154D48">
      <w:pPr>
        <w:spacing w:after="120" w:line="240" w:lineRule="auto"/>
        <w:ind w:left="567" w:right="260"/>
        <w:rPr>
          <w:rFonts w:ascii="Arial" w:hAnsi="Arial" w:cs="Arial"/>
          <w:iCs/>
        </w:rPr>
      </w:pPr>
    </w:p>
    <w:p w14:paraId="66DE3AB7" w14:textId="767F6F9F" w:rsidR="00E97530" w:rsidRDefault="00E97530" w:rsidP="00154D48">
      <w:pPr>
        <w:spacing w:after="120" w:line="240" w:lineRule="auto"/>
        <w:ind w:left="567" w:right="260"/>
        <w:rPr>
          <w:rFonts w:ascii="Arial" w:hAnsi="Arial" w:cs="Arial"/>
          <w:iCs/>
        </w:rPr>
      </w:pPr>
    </w:p>
    <w:p w14:paraId="11EA0B3E" w14:textId="77777777" w:rsidR="00E97530" w:rsidRPr="008C6CBE" w:rsidRDefault="00E97530" w:rsidP="00154D48">
      <w:pPr>
        <w:spacing w:after="120" w:line="240" w:lineRule="auto"/>
        <w:ind w:left="567" w:right="260"/>
        <w:rPr>
          <w:rFonts w:ascii="Arial" w:hAnsi="Arial" w:cs="Arial"/>
          <w:iCs/>
        </w:rPr>
      </w:pPr>
    </w:p>
    <w:p w14:paraId="1F4B3CCF" w14:textId="77777777" w:rsidR="00274ED7" w:rsidRPr="008C6CBE" w:rsidRDefault="006F3F8B" w:rsidP="00696FF5">
      <w:pPr>
        <w:numPr>
          <w:ilvl w:val="0"/>
          <w:numId w:val="1"/>
        </w:numPr>
        <w:spacing w:after="120" w:line="240" w:lineRule="auto"/>
        <w:ind w:left="567" w:right="261" w:hanging="567"/>
        <w:jc w:val="both"/>
        <w:rPr>
          <w:rFonts w:ascii="Arial" w:hAnsi="Arial" w:cs="Arial"/>
          <w:b/>
          <w:iCs/>
        </w:rPr>
      </w:pPr>
      <w:r w:rsidRPr="008C6CBE">
        <w:rPr>
          <w:rFonts w:ascii="Arial" w:hAnsi="Arial" w:cs="Arial"/>
          <w:b/>
          <w:iCs/>
        </w:rPr>
        <w:lastRenderedPageBreak/>
        <w:t xml:space="preserve">Map of </w:t>
      </w:r>
      <w:r w:rsidR="00883204" w:rsidRPr="008C6CBE">
        <w:rPr>
          <w:rFonts w:ascii="Arial" w:hAnsi="Arial" w:cs="Arial"/>
          <w:b/>
          <w:iCs/>
        </w:rPr>
        <w:t xml:space="preserve">module learning outcomes </w:t>
      </w:r>
      <w:r w:rsidR="00B30E07" w:rsidRPr="008C6CBE">
        <w:rPr>
          <w:rFonts w:ascii="Arial" w:hAnsi="Arial" w:cs="Arial"/>
          <w:b/>
          <w:iCs/>
        </w:rPr>
        <w:t>(sections 8 &amp; 9)</w:t>
      </w:r>
      <w:r w:rsidR="00883204" w:rsidRPr="008C6CBE">
        <w:rPr>
          <w:rFonts w:ascii="Arial" w:hAnsi="Arial" w:cs="Arial"/>
          <w:b/>
          <w:iCs/>
        </w:rPr>
        <w:t xml:space="preserve"> to l</w:t>
      </w:r>
      <w:r w:rsidRPr="008C6CBE">
        <w:rPr>
          <w:rFonts w:ascii="Arial" w:hAnsi="Arial" w:cs="Arial"/>
          <w:b/>
          <w:iCs/>
        </w:rPr>
        <w:t>earning</w:t>
      </w:r>
      <w:r w:rsidR="00B30E07" w:rsidRPr="008C6CBE">
        <w:rPr>
          <w:rFonts w:ascii="Arial" w:hAnsi="Arial" w:cs="Arial"/>
          <w:b/>
          <w:iCs/>
        </w:rPr>
        <w:t xml:space="preserve"> and </w:t>
      </w:r>
      <w:r w:rsidR="00883204" w:rsidRPr="008C6CBE">
        <w:rPr>
          <w:rFonts w:ascii="Arial" w:hAnsi="Arial" w:cs="Arial"/>
          <w:b/>
          <w:iCs/>
        </w:rPr>
        <w:t>teaching m</w:t>
      </w:r>
      <w:r w:rsidR="00B30E07" w:rsidRPr="008C6CBE">
        <w:rPr>
          <w:rFonts w:ascii="Arial" w:hAnsi="Arial" w:cs="Arial"/>
          <w:b/>
          <w:iCs/>
        </w:rPr>
        <w:t>ethods (section12</w:t>
      </w:r>
      <w:r w:rsidRPr="008C6CBE">
        <w:rPr>
          <w:rFonts w:ascii="Arial" w:hAnsi="Arial" w:cs="Arial"/>
          <w:b/>
          <w:iCs/>
        </w:rPr>
        <w:t>) and m</w:t>
      </w:r>
      <w:r w:rsidR="00883204" w:rsidRPr="008C6CBE">
        <w:rPr>
          <w:rFonts w:ascii="Arial" w:hAnsi="Arial" w:cs="Arial"/>
          <w:b/>
          <w:iCs/>
        </w:rPr>
        <w:t>ethods of a</w:t>
      </w:r>
      <w:r w:rsidR="00B30E07" w:rsidRPr="008C6CBE">
        <w:rPr>
          <w:rFonts w:ascii="Arial" w:hAnsi="Arial" w:cs="Arial"/>
          <w:b/>
          <w:iCs/>
        </w:rPr>
        <w:t>ssessment (section 13</w:t>
      </w:r>
      <w:r w:rsidR="00EF4933" w:rsidRPr="008C6CBE">
        <w:rPr>
          <w:rFonts w:ascii="Arial" w:hAnsi="Arial" w:cs="Arial"/>
          <w:b/>
          <w:iCs/>
        </w:rPr>
        <w:t>)</w:t>
      </w:r>
    </w:p>
    <w:p w14:paraId="26FB4EA2" w14:textId="60CEA92D" w:rsidR="00E97530" w:rsidRPr="00E97530" w:rsidRDefault="00E97530" w:rsidP="00E97530">
      <w:pPr>
        <w:spacing w:after="120" w:line="240" w:lineRule="auto"/>
        <w:ind w:right="543"/>
        <w:jc w:val="both"/>
        <w:rPr>
          <w:rFonts w:ascii="Arial" w:hAnsi="Arial" w:cs="Arial"/>
          <w:b/>
          <w:bCs/>
        </w:rPr>
      </w:pPr>
      <w:r w:rsidRPr="00E97530">
        <w:rPr>
          <w:rFonts w:ascii="Arial" w:hAnsi="Arial" w:cs="Arial"/>
          <w:b/>
          <w:bCs/>
        </w:rPr>
        <w:t>Module learning outcomes against learning and teaching methods:</w:t>
      </w:r>
    </w:p>
    <w:tbl>
      <w:tblPr>
        <w:tblStyle w:val="TableGrid"/>
        <w:tblW w:w="5000" w:type="pct"/>
        <w:tblLook w:val="04A0" w:firstRow="1" w:lastRow="0" w:firstColumn="1" w:lastColumn="0" w:noHBand="0" w:noVBand="1"/>
      </w:tblPr>
      <w:tblGrid>
        <w:gridCol w:w="3144"/>
        <w:gridCol w:w="732"/>
        <w:gridCol w:w="732"/>
        <w:gridCol w:w="732"/>
        <w:gridCol w:w="732"/>
        <w:gridCol w:w="732"/>
        <w:gridCol w:w="732"/>
        <w:gridCol w:w="732"/>
        <w:gridCol w:w="732"/>
        <w:gridCol w:w="732"/>
        <w:gridCol w:w="724"/>
      </w:tblGrid>
      <w:tr w:rsidR="002302FD" w:rsidRPr="00302082" w14:paraId="4F741530" w14:textId="77777777" w:rsidTr="00E97530">
        <w:tc>
          <w:tcPr>
            <w:tcW w:w="1503" w:type="pct"/>
            <w:shd w:val="clear" w:color="auto" w:fill="D9D9D9" w:themeFill="background1" w:themeFillShade="D9"/>
          </w:tcPr>
          <w:p w14:paraId="58915433" w14:textId="77777777" w:rsidR="002302FD" w:rsidRPr="00302082" w:rsidRDefault="002302FD" w:rsidP="00302082">
            <w:pPr>
              <w:spacing w:after="120"/>
              <w:ind w:left="33"/>
              <w:rPr>
                <w:rFonts w:ascii="Arial" w:hAnsi="Arial" w:cs="Arial"/>
                <w:b/>
              </w:rPr>
            </w:pPr>
            <w:r w:rsidRPr="00302082">
              <w:rPr>
                <w:rFonts w:ascii="Arial" w:hAnsi="Arial" w:cs="Arial"/>
                <w:b/>
              </w:rPr>
              <w:t>Module learning outcome</w:t>
            </w:r>
          </w:p>
        </w:tc>
        <w:tc>
          <w:tcPr>
            <w:tcW w:w="350" w:type="pct"/>
          </w:tcPr>
          <w:p w14:paraId="5A581120" w14:textId="77777777" w:rsidR="002302FD" w:rsidRPr="002302FD" w:rsidRDefault="002302FD" w:rsidP="00302082">
            <w:pPr>
              <w:spacing w:after="120"/>
              <w:rPr>
                <w:rFonts w:ascii="Arial" w:hAnsi="Arial" w:cs="Arial"/>
              </w:rPr>
            </w:pPr>
            <w:r w:rsidRPr="002302FD">
              <w:rPr>
                <w:rFonts w:ascii="Arial" w:hAnsi="Arial" w:cs="Arial"/>
              </w:rPr>
              <w:t>8.1</w:t>
            </w:r>
          </w:p>
        </w:tc>
        <w:tc>
          <w:tcPr>
            <w:tcW w:w="350" w:type="pct"/>
          </w:tcPr>
          <w:p w14:paraId="7F95E857" w14:textId="77777777" w:rsidR="002302FD" w:rsidRPr="002302FD" w:rsidRDefault="002302FD" w:rsidP="00302082">
            <w:pPr>
              <w:spacing w:after="120"/>
              <w:rPr>
                <w:rFonts w:ascii="Arial" w:hAnsi="Arial" w:cs="Arial"/>
              </w:rPr>
            </w:pPr>
            <w:r w:rsidRPr="002302FD">
              <w:rPr>
                <w:rFonts w:ascii="Arial" w:hAnsi="Arial" w:cs="Arial"/>
              </w:rPr>
              <w:t>8.2</w:t>
            </w:r>
          </w:p>
        </w:tc>
        <w:tc>
          <w:tcPr>
            <w:tcW w:w="350" w:type="pct"/>
          </w:tcPr>
          <w:p w14:paraId="34FF4B24" w14:textId="77777777" w:rsidR="002302FD" w:rsidRPr="002302FD" w:rsidRDefault="002302FD" w:rsidP="00302082">
            <w:pPr>
              <w:spacing w:after="120"/>
              <w:rPr>
                <w:rFonts w:ascii="Arial" w:hAnsi="Arial" w:cs="Arial"/>
              </w:rPr>
            </w:pPr>
            <w:r w:rsidRPr="002302FD">
              <w:rPr>
                <w:rFonts w:ascii="Arial" w:hAnsi="Arial" w:cs="Arial"/>
              </w:rPr>
              <w:t>8.3</w:t>
            </w:r>
          </w:p>
        </w:tc>
        <w:tc>
          <w:tcPr>
            <w:tcW w:w="350" w:type="pct"/>
          </w:tcPr>
          <w:p w14:paraId="40F26F88" w14:textId="77777777" w:rsidR="002302FD" w:rsidRPr="002302FD" w:rsidRDefault="002302FD" w:rsidP="00302082">
            <w:pPr>
              <w:spacing w:after="120"/>
              <w:rPr>
                <w:rFonts w:ascii="Arial" w:hAnsi="Arial" w:cs="Arial"/>
              </w:rPr>
            </w:pPr>
            <w:r w:rsidRPr="002302FD">
              <w:rPr>
                <w:rFonts w:ascii="Arial" w:hAnsi="Arial" w:cs="Arial"/>
              </w:rPr>
              <w:t>8.4</w:t>
            </w:r>
          </w:p>
        </w:tc>
        <w:tc>
          <w:tcPr>
            <w:tcW w:w="350" w:type="pct"/>
          </w:tcPr>
          <w:p w14:paraId="2FAD8AE0" w14:textId="77777777" w:rsidR="002302FD" w:rsidRPr="002302FD" w:rsidRDefault="002302FD" w:rsidP="00302082">
            <w:pPr>
              <w:spacing w:after="120"/>
              <w:rPr>
                <w:rFonts w:ascii="Arial" w:hAnsi="Arial" w:cs="Arial"/>
              </w:rPr>
            </w:pPr>
            <w:r w:rsidRPr="002302FD">
              <w:rPr>
                <w:rFonts w:ascii="Arial" w:hAnsi="Arial" w:cs="Arial"/>
              </w:rPr>
              <w:t>8.5</w:t>
            </w:r>
          </w:p>
        </w:tc>
        <w:tc>
          <w:tcPr>
            <w:tcW w:w="350" w:type="pct"/>
          </w:tcPr>
          <w:p w14:paraId="2FB57E61" w14:textId="77777777" w:rsidR="002302FD" w:rsidRPr="002302FD" w:rsidRDefault="002302FD" w:rsidP="00302082">
            <w:pPr>
              <w:spacing w:after="120"/>
              <w:rPr>
                <w:rFonts w:ascii="Arial" w:hAnsi="Arial" w:cs="Arial"/>
              </w:rPr>
            </w:pPr>
            <w:r w:rsidRPr="002302FD">
              <w:rPr>
                <w:rFonts w:ascii="Arial" w:hAnsi="Arial" w:cs="Arial"/>
              </w:rPr>
              <w:t>9.1</w:t>
            </w:r>
          </w:p>
        </w:tc>
        <w:tc>
          <w:tcPr>
            <w:tcW w:w="350" w:type="pct"/>
          </w:tcPr>
          <w:p w14:paraId="60BE2242" w14:textId="77777777" w:rsidR="002302FD" w:rsidRPr="002302FD" w:rsidRDefault="002302FD" w:rsidP="00302082">
            <w:pPr>
              <w:spacing w:after="120"/>
              <w:rPr>
                <w:rFonts w:ascii="Arial" w:hAnsi="Arial" w:cs="Arial"/>
              </w:rPr>
            </w:pPr>
            <w:r w:rsidRPr="002302FD">
              <w:rPr>
                <w:rFonts w:ascii="Arial" w:hAnsi="Arial" w:cs="Arial"/>
              </w:rPr>
              <w:t>9.2</w:t>
            </w:r>
          </w:p>
        </w:tc>
        <w:tc>
          <w:tcPr>
            <w:tcW w:w="350" w:type="pct"/>
          </w:tcPr>
          <w:p w14:paraId="793521B4" w14:textId="77777777" w:rsidR="002302FD" w:rsidRPr="002302FD" w:rsidRDefault="002302FD" w:rsidP="00302082">
            <w:pPr>
              <w:spacing w:after="120"/>
              <w:rPr>
                <w:rFonts w:ascii="Arial" w:hAnsi="Arial" w:cs="Arial"/>
              </w:rPr>
            </w:pPr>
            <w:r w:rsidRPr="002302FD">
              <w:rPr>
                <w:rFonts w:ascii="Arial" w:hAnsi="Arial" w:cs="Arial"/>
              </w:rPr>
              <w:t>9.3</w:t>
            </w:r>
          </w:p>
        </w:tc>
        <w:tc>
          <w:tcPr>
            <w:tcW w:w="350" w:type="pct"/>
          </w:tcPr>
          <w:p w14:paraId="065AED88" w14:textId="77777777" w:rsidR="002302FD" w:rsidRPr="002302FD" w:rsidRDefault="002302FD" w:rsidP="00302082">
            <w:pPr>
              <w:spacing w:after="120"/>
              <w:rPr>
                <w:rFonts w:ascii="Arial" w:hAnsi="Arial" w:cs="Arial"/>
              </w:rPr>
            </w:pPr>
            <w:r w:rsidRPr="002302FD">
              <w:rPr>
                <w:rFonts w:ascii="Arial" w:hAnsi="Arial" w:cs="Arial"/>
              </w:rPr>
              <w:t>9.4</w:t>
            </w:r>
          </w:p>
        </w:tc>
        <w:tc>
          <w:tcPr>
            <w:tcW w:w="346" w:type="pct"/>
          </w:tcPr>
          <w:p w14:paraId="695726B0" w14:textId="77777777" w:rsidR="002302FD" w:rsidRPr="002302FD" w:rsidRDefault="002302FD" w:rsidP="00302082">
            <w:pPr>
              <w:spacing w:after="120"/>
              <w:rPr>
                <w:rFonts w:ascii="Arial" w:hAnsi="Arial" w:cs="Arial"/>
              </w:rPr>
            </w:pPr>
            <w:r w:rsidRPr="002302FD">
              <w:rPr>
                <w:rFonts w:ascii="Arial" w:hAnsi="Arial" w:cs="Arial"/>
              </w:rPr>
              <w:t>9.5</w:t>
            </w:r>
          </w:p>
        </w:tc>
      </w:tr>
      <w:tr w:rsidR="002302FD" w:rsidRPr="00302082" w14:paraId="37494D30" w14:textId="77777777" w:rsidTr="00E97530">
        <w:tc>
          <w:tcPr>
            <w:tcW w:w="1503" w:type="pct"/>
          </w:tcPr>
          <w:p w14:paraId="0B2DEA2D" w14:textId="77777777" w:rsidR="002302FD" w:rsidRPr="00302082" w:rsidRDefault="002302FD" w:rsidP="00302082">
            <w:pPr>
              <w:spacing w:after="120"/>
              <w:rPr>
                <w:rFonts w:ascii="Arial" w:hAnsi="Arial" w:cs="Arial"/>
                <w:b/>
              </w:rPr>
            </w:pPr>
            <w:r w:rsidRPr="00302082">
              <w:rPr>
                <w:rFonts w:ascii="Arial" w:hAnsi="Arial" w:cs="Arial"/>
                <w:b/>
              </w:rPr>
              <w:t>Private Study</w:t>
            </w:r>
          </w:p>
        </w:tc>
        <w:tc>
          <w:tcPr>
            <w:tcW w:w="350" w:type="pct"/>
          </w:tcPr>
          <w:p w14:paraId="7B7D89D9" w14:textId="77777777" w:rsidR="002302FD" w:rsidRPr="00302082" w:rsidRDefault="002302FD" w:rsidP="00302082">
            <w:pPr>
              <w:spacing w:after="120"/>
              <w:rPr>
                <w:rFonts w:ascii="Arial" w:hAnsi="Arial" w:cs="Arial"/>
                <w:b/>
              </w:rPr>
            </w:pPr>
          </w:p>
        </w:tc>
        <w:tc>
          <w:tcPr>
            <w:tcW w:w="350" w:type="pct"/>
          </w:tcPr>
          <w:p w14:paraId="1A1E514E" w14:textId="77777777" w:rsidR="002302FD" w:rsidRPr="00302082" w:rsidRDefault="002302FD" w:rsidP="00302082">
            <w:pPr>
              <w:spacing w:after="120"/>
              <w:rPr>
                <w:rFonts w:ascii="Arial" w:hAnsi="Arial" w:cs="Arial"/>
                <w:b/>
              </w:rPr>
            </w:pPr>
          </w:p>
        </w:tc>
        <w:tc>
          <w:tcPr>
            <w:tcW w:w="350" w:type="pct"/>
          </w:tcPr>
          <w:p w14:paraId="1821E066" w14:textId="77777777" w:rsidR="002302FD" w:rsidRPr="00302082" w:rsidRDefault="002302FD" w:rsidP="00302082">
            <w:pPr>
              <w:spacing w:after="120"/>
              <w:rPr>
                <w:rFonts w:ascii="Arial" w:hAnsi="Arial" w:cs="Arial"/>
                <w:b/>
              </w:rPr>
            </w:pPr>
          </w:p>
        </w:tc>
        <w:tc>
          <w:tcPr>
            <w:tcW w:w="350" w:type="pct"/>
          </w:tcPr>
          <w:p w14:paraId="66AA7255" w14:textId="77777777" w:rsidR="002302FD" w:rsidRPr="00302082" w:rsidRDefault="002302FD" w:rsidP="00302082">
            <w:pPr>
              <w:spacing w:after="120"/>
              <w:rPr>
                <w:rFonts w:ascii="Arial" w:hAnsi="Arial" w:cs="Arial"/>
                <w:b/>
              </w:rPr>
            </w:pPr>
          </w:p>
        </w:tc>
        <w:tc>
          <w:tcPr>
            <w:tcW w:w="350" w:type="pct"/>
          </w:tcPr>
          <w:p w14:paraId="33F11972" w14:textId="77777777" w:rsidR="002302FD" w:rsidRPr="00302082" w:rsidRDefault="002302FD" w:rsidP="00302082">
            <w:pPr>
              <w:spacing w:after="120"/>
              <w:rPr>
                <w:rFonts w:ascii="Arial" w:hAnsi="Arial" w:cs="Arial"/>
                <w:b/>
              </w:rPr>
            </w:pPr>
          </w:p>
        </w:tc>
        <w:tc>
          <w:tcPr>
            <w:tcW w:w="350" w:type="pct"/>
          </w:tcPr>
          <w:p w14:paraId="4369F9D7" w14:textId="77777777" w:rsidR="002302FD" w:rsidRPr="00302082" w:rsidRDefault="002302FD" w:rsidP="00302082">
            <w:pPr>
              <w:spacing w:after="120"/>
              <w:rPr>
                <w:rFonts w:ascii="Arial" w:hAnsi="Arial" w:cs="Arial"/>
                <w:b/>
              </w:rPr>
            </w:pPr>
          </w:p>
        </w:tc>
        <w:tc>
          <w:tcPr>
            <w:tcW w:w="350" w:type="pct"/>
          </w:tcPr>
          <w:p w14:paraId="53A27543" w14:textId="77777777" w:rsidR="002302FD" w:rsidRPr="00302082" w:rsidRDefault="002302FD" w:rsidP="00302082">
            <w:pPr>
              <w:spacing w:after="120"/>
              <w:rPr>
                <w:rFonts w:ascii="Arial" w:hAnsi="Arial" w:cs="Arial"/>
                <w:b/>
              </w:rPr>
            </w:pPr>
          </w:p>
        </w:tc>
        <w:tc>
          <w:tcPr>
            <w:tcW w:w="350" w:type="pct"/>
          </w:tcPr>
          <w:p w14:paraId="1A79621C" w14:textId="77777777" w:rsidR="002302FD" w:rsidRPr="00302082" w:rsidRDefault="002302FD" w:rsidP="00302082">
            <w:pPr>
              <w:spacing w:after="120"/>
              <w:rPr>
                <w:rFonts w:ascii="Arial" w:hAnsi="Arial" w:cs="Arial"/>
                <w:b/>
              </w:rPr>
            </w:pPr>
          </w:p>
        </w:tc>
        <w:tc>
          <w:tcPr>
            <w:tcW w:w="350" w:type="pct"/>
          </w:tcPr>
          <w:p w14:paraId="3DB58CB0" w14:textId="77777777" w:rsidR="002302FD" w:rsidRPr="00302082" w:rsidRDefault="002302FD" w:rsidP="00302082">
            <w:pPr>
              <w:spacing w:after="120"/>
              <w:rPr>
                <w:rFonts w:ascii="Arial" w:hAnsi="Arial" w:cs="Arial"/>
                <w:b/>
              </w:rPr>
            </w:pPr>
          </w:p>
        </w:tc>
        <w:tc>
          <w:tcPr>
            <w:tcW w:w="346" w:type="pct"/>
          </w:tcPr>
          <w:p w14:paraId="78E2FE78" w14:textId="77777777" w:rsidR="002302FD" w:rsidRPr="00302082" w:rsidRDefault="002302FD" w:rsidP="00302082">
            <w:pPr>
              <w:spacing w:after="120"/>
              <w:rPr>
                <w:rFonts w:ascii="Arial" w:hAnsi="Arial" w:cs="Arial"/>
                <w:b/>
              </w:rPr>
            </w:pPr>
          </w:p>
        </w:tc>
      </w:tr>
      <w:tr w:rsidR="00850677" w:rsidRPr="00302082" w14:paraId="0B77310D" w14:textId="77777777" w:rsidTr="00E97530">
        <w:tc>
          <w:tcPr>
            <w:tcW w:w="1503" w:type="pct"/>
          </w:tcPr>
          <w:p w14:paraId="1222ED34" w14:textId="7B19112F" w:rsidR="00850677" w:rsidRPr="00154D48" w:rsidRDefault="00850677" w:rsidP="00850677">
            <w:pPr>
              <w:spacing w:after="120"/>
              <w:rPr>
                <w:rFonts w:ascii="Arial" w:hAnsi="Arial" w:cs="Arial"/>
              </w:rPr>
            </w:pPr>
            <w:r>
              <w:rPr>
                <w:rFonts w:ascii="Arial" w:hAnsi="Arial" w:cs="Arial"/>
              </w:rPr>
              <w:t>Lectures</w:t>
            </w:r>
          </w:p>
        </w:tc>
        <w:tc>
          <w:tcPr>
            <w:tcW w:w="350" w:type="pct"/>
          </w:tcPr>
          <w:p w14:paraId="60F2914C" w14:textId="1A0A1E5F" w:rsidR="00850677" w:rsidRPr="00302082" w:rsidRDefault="00850677" w:rsidP="00850677">
            <w:pPr>
              <w:spacing w:after="120"/>
              <w:rPr>
                <w:rFonts w:ascii="Arial" w:hAnsi="Arial" w:cs="Arial"/>
                <w:b/>
              </w:rPr>
            </w:pPr>
            <w:r>
              <w:rPr>
                <w:rFonts w:ascii="Arial" w:hAnsi="Arial" w:cs="Arial"/>
                <w:b/>
              </w:rPr>
              <w:t>x</w:t>
            </w:r>
          </w:p>
        </w:tc>
        <w:tc>
          <w:tcPr>
            <w:tcW w:w="350" w:type="pct"/>
          </w:tcPr>
          <w:p w14:paraId="54BCED4B" w14:textId="28D247DE" w:rsidR="00850677" w:rsidRPr="00302082" w:rsidRDefault="00850677" w:rsidP="00850677">
            <w:pPr>
              <w:spacing w:after="120"/>
              <w:rPr>
                <w:rFonts w:ascii="Arial" w:hAnsi="Arial" w:cs="Arial"/>
                <w:b/>
              </w:rPr>
            </w:pPr>
            <w:r w:rsidRPr="005F1A44">
              <w:rPr>
                <w:rFonts w:ascii="Arial" w:hAnsi="Arial" w:cs="Arial"/>
                <w:b/>
              </w:rPr>
              <w:t>x</w:t>
            </w:r>
          </w:p>
        </w:tc>
        <w:tc>
          <w:tcPr>
            <w:tcW w:w="350" w:type="pct"/>
          </w:tcPr>
          <w:p w14:paraId="6EE84A88" w14:textId="261BDBA1" w:rsidR="00850677" w:rsidRPr="00302082" w:rsidRDefault="00850677" w:rsidP="00850677">
            <w:pPr>
              <w:spacing w:after="120"/>
              <w:rPr>
                <w:rFonts w:ascii="Arial" w:hAnsi="Arial" w:cs="Arial"/>
                <w:b/>
              </w:rPr>
            </w:pPr>
            <w:r w:rsidRPr="005F1A44">
              <w:rPr>
                <w:rFonts w:ascii="Arial" w:hAnsi="Arial" w:cs="Arial"/>
                <w:b/>
              </w:rPr>
              <w:t>x</w:t>
            </w:r>
          </w:p>
        </w:tc>
        <w:tc>
          <w:tcPr>
            <w:tcW w:w="350" w:type="pct"/>
          </w:tcPr>
          <w:p w14:paraId="60804003" w14:textId="15C56A03" w:rsidR="00850677" w:rsidRPr="00302082" w:rsidRDefault="00850677" w:rsidP="00850677">
            <w:pPr>
              <w:spacing w:after="120"/>
              <w:rPr>
                <w:rFonts w:ascii="Arial" w:hAnsi="Arial" w:cs="Arial"/>
                <w:b/>
              </w:rPr>
            </w:pPr>
            <w:r w:rsidRPr="005F1A44">
              <w:rPr>
                <w:rFonts w:ascii="Arial" w:hAnsi="Arial" w:cs="Arial"/>
                <w:b/>
              </w:rPr>
              <w:t>x</w:t>
            </w:r>
          </w:p>
        </w:tc>
        <w:tc>
          <w:tcPr>
            <w:tcW w:w="350" w:type="pct"/>
          </w:tcPr>
          <w:p w14:paraId="33248FA1" w14:textId="5180A33F" w:rsidR="00850677" w:rsidRPr="00302082" w:rsidRDefault="00850677" w:rsidP="00850677">
            <w:pPr>
              <w:spacing w:after="120"/>
              <w:rPr>
                <w:rFonts w:ascii="Arial" w:hAnsi="Arial" w:cs="Arial"/>
                <w:b/>
              </w:rPr>
            </w:pPr>
            <w:r w:rsidRPr="005F1A44">
              <w:rPr>
                <w:rFonts w:ascii="Arial" w:hAnsi="Arial" w:cs="Arial"/>
                <w:b/>
              </w:rPr>
              <w:t>x</w:t>
            </w:r>
          </w:p>
        </w:tc>
        <w:tc>
          <w:tcPr>
            <w:tcW w:w="350" w:type="pct"/>
          </w:tcPr>
          <w:p w14:paraId="1CA6D37B" w14:textId="4F037D87" w:rsidR="00850677" w:rsidRPr="00302082" w:rsidRDefault="00850677" w:rsidP="00850677">
            <w:pPr>
              <w:spacing w:after="120"/>
              <w:rPr>
                <w:rFonts w:ascii="Arial" w:hAnsi="Arial" w:cs="Arial"/>
                <w:b/>
              </w:rPr>
            </w:pPr>
            <w:r w:rsidRPr="005F1A44">
              <w:rPr>
                <w:rFonts w:ascii="Arial" w:hAnsi="Arial" w:cs="Arial"/>
                <w:b/>
              </w:rPr>
              <w:t>x</w:t>
            </w:r>
          </w:p>
        </w:tc>
        <w:tc>
          <w:tcPr>
            <w:tcW w:w="350" w:type="pct"/>
          </w:tcPr>
          <w:p w14:paraId="470BCDCE" w14:textId="53F3957C" w:rsidR="00850677" w:rsidRPr="00302082" w:rsidRDefault="00850677" w:rsidP="00850677">
            <w:pPr>
              <w:spacing w:after="120"/>
              <w:rPr>
                <w:rFonts w:ascii="Arial" w:hAnsi="Arial" w:cs="Arial"/>
                <w:b/>
              </w:rPr>
            </w:pPr>
            <w:r w:rsidRPr="005F1A44">
              <w:rPr>
                <w:rFonts w:ascii="Arial" w:hAnsi="Arial" w:cs="Arial"/>
                <w:b/>
              </w:rPr>
              <w:t>x</w:t>
            </w:r>
          </w:p>
        </w:tc>
        <w:tc>
          <w:tcPr>
            <w:tcW w:w="350" w:type="pct"/>
          </w:tcPr>
          <w:p w14:paraId="2AE3338D" w14:textId="42BA9009" w:rsidR="00850677" w:rsidRPr="00302082" w:rsidRDefault="00850677" w:rsidP="00850677">
            <w:pPr>
              <w:spacing w:after="120"/>
              <w:rPr>
                <w:rFonts w:ascii="Arial" w:hAnsi="Arial" w:cs="Arial"/>
                <w:b/>
              </w:rPr>
            </w:pPr>
            <w:r w:rsidRPr="005F1A44">
              <w:rPr>
                <w:rFonts w:ascii="Arial" w:hAnsi="Arial" w:cs="Arial"/>
                <w:b/>
              </w:rPr>
              <w:t>x</w:t>
            </w:r>
          </w:p>
        </w:tc>
        <w:tc>
          <w:tcPr>
            <w:tcW w:w="350" w:type="pct"/>
          </w:tcPr>
          <w:p w14:paraId="693D6849" w14:textId="0A3488E2" w:rsidR="00850677" w:rsidRPr="00302082" w:rsidRDefault="00850677" w:rsidP="00850677">
            <w:pPr>
              <w:spacing w:after="120"/>
              <w:rPr>
                <w:rFonts w:ascii="Arial" w:hAnsi="Arial" w:cs="Arial"/>
                <w:b/>
              </w:rPr>
            </w:pPr>
            <w:r w:rsidRPr="005F1A44">
              <w:rPr>
                <w:rFonts w:ascii="Arial" w:hAnsi="Arial" w:cs="Arial"/>
                <w:b/>
              </w:rPr>
              <w:t>x</w:t>
            </w:r>
          </w:p>
        </w:tc>
        <w:tc>
          <w:tcPr>
            <w:tcW w:w="346" w:type="pct"/>
          </w:tcPr>
          <w:p w14:paraId="73D69DF8" w14:textId="1C73F0E3" w:rsidR="00850677" w:rsidRPr="00302082" w:rsidRDefault="00850677" w:rsidP="00850677">
            <w:pPr>
              <w:spacing w:after="120"/>
              <w:rPr>
                <w:rFonts w:ascii="Arial" w:hAnsi="Arial" w:cs="Arial"/>
                <w:b/>
              </w:rPr>
            </w:pPr>
            <w:r w:rsidRPr="005F1A44">
              <w:rPr>
                <w:rFonts w:ascii="Arial" w:hAnsi="Arial" w:cs="Arial"/>
                <w:b/>
              </w:rPr>
              <w:t>x</w:t>
            </w:r>
          </w:p>
        </w:tc>
      </w:tr>
      <w:tr w:rsidR="00850677" w:rsidRPr="00302082" w14:paraId="1338D7EE" w14:textId="77777777" w:rsidTr="00E97530">
        <w:tc>
          <w:tcPr>
            <w:tcW w:w="1503" w:type="pct"/>
          </w:tcPr>
          <w:p w14:paraId="76A1803C" w14:textId="1EF991EC" w:rsidR="00850677" w:rsidRPr="00154D48" w:rsidRDefault="00850677" w:rsidP="00850677">
            <w:pPr>
              <w:spacing w:after="120"/>
              <w:rPr>
                <w:rFonts w:ascii="Arial" w:hAnsi="Arial" w:cs="Arial"/>
              </w:rPr>
            </w:pPr>
            <w:r>
              <w:rPr>
                <w:rFonts w:ascii="Arial" w:hAnsi="Arial" w:cs="Arial"/>
              </w:rPr>
              <w:t>Seminars</w:t>
            </w:r>
          </w:p>
        </w:tc>
        <w:tc>
          <w:tcPr>
            <w:tcW w:w="350" w:type="pct"/>
          </w:tcPr>
          <w:p w14:paraId="2CC166B3" w14:textId="7E9B20B5" w:rsidR="00850677" w:rsidRPr="00302082" w:rsidRDefault="00850677" w:rsidP="00850677">
            <w:pPr>
              <w:spacing w:after="120"/>
              <w:rPr>
                <w:rFonts w:ascii="Arial" w:hAnsi="Arial" w:cs="Arial"/>
                <w:b/>
              </w:rPr>
            </w:pPr>
            <w:r w:rsidRPr="00D4600B">
              <w:rPr>
                <w:rFonts w:ascii="Arial" w:hAnsi="Arial" w:cs="Arial"/>
                <w:b/>
              </w:rPr>
              <w:t>x</w:t>
            </w:r>
          </w:p>
        </w:tc>
        <w:tc>
          <w:tcPr>
            <w:tcW w:w="350" w:type="pct"/>
          </w:tcPr>
          <w:p w14:paraId="128D9FE5" w14:textId="3E013233" w:rsidR="00850677" w:rsidRPr="00302082" w:rsidRDefault="00850677" w:rsidP="00850677">
            <w:pPr>
              <w:spacing w:after="120"/>
              <w:rPr>
                <w:rFonts w:ascii="Arial" w:hAnsi="Arial" w:cs="Arial"/>
                <w:b/>
              </w:rPr>
            </w:pPr>
            <w:r w:rsidRPr="00D4600B">
              <w:rPr>
                <w:rFonts w:ascii="Arial" w:hAnsi="Arial" w:cs="Arial"/>
                <w:b/>
              </w:rPr>
              <w:t>x</w:t>
            </w:r>
          </w:p>
        </w:tc>
        <w:tc>
          <w:tcPr>
            <w:tcW w:w="350" w:type="pct"/>
          </w:tcPr>
          <w:p w14:paraId="5E3BD6E0" w14:textId="5A1B1B54" w:rsidR="00850677" w:rsidRPr="00302082" w:rsidRDefault="00850677" w:rsidP="00850677">
            <w:pPr>
              <w:spacing w:after="120"/>
              <w:rPr>
                <w:rFonts w:ascii="Arial" w:hAnsi="Arial" w:cs="Arial"/>
                <w:b/>
              </w:rPr>
            </w:pPr>
            <w:r w:rsidRPr="00D4600B">
              <w:rPr>
                <w:rFonts w:ascii="Arial" w:hAnsi="Arial" w:cs="Arial"/>
                <w:b/>
              </w:rPr>
              <w:t>x</w:t>
            </w:r>
          </w:p>
        </w:tc>
        <w:tc>
          <w:tcPr>
            <w:tcW w:w="350" w:type="pct"/>
          </w:tcPr>
          <w:p w14:paraId="38AF428A" w14:textId="24571364" w:rsidR="00850677" w:rsidRPr="00302082" w:rsidRDefault="00850677" w:rsidP="00850677">
            <w:pPr>
              <w:spacing w:after="120"/>
              <w:rPr>
                <w:rFonts w:ascii="Arial" w:hAnsi="Arial" w:cs="Arial"/>
                <w:b/>
              </w:rPr>
            </w:pPr>
            <w:r w:rsidRPr="00D4600B">
              <w:rPr>
                <w:rFonts w:ascii="Arial" w:hAnsi="Arial" w:cs="Arial"/>
                <w:b/>
              </w:rPr>
              <w:t>x</w:t>
            </w:r>
          </w:p>
        </w:tc>
        <w:tc>
          <w:tcPr>
            <w:tcW w:w="350" w:type="pct"/>
          </w:tcPr>
          <w:p w14:paraId="369888F1" w14:textId="1336995C" w:rsidR="00850677" w:rsidRPr="00302082" w:rsidRDefault="00850677" w:rsidP="00850677">
            <w:pPr>
              <w:spacing w:after="120"/>
              <w:rPr>
                <w:rFonts w:ascii="Arial" w:hAnsi="Arial" w:cs="Arial"/>
                <w:b/>
              </w:rPr>
            </w:pPr>
            <w:r w:rsidRPr="00D4600B">
              <w:rPr>
                <w:rFonts w:ascii="Arial" w:hAnsi="Arial" w:cs="Arial"/>
                <w:b/>
              </w:rPr>
              <w:t>x</w:t>
            </w:r>
          </w:p>
        </w:tc>
        <w:tc>
          <w:tcPr>
            <w:tcW w:w="350" w:type="pct"/>
          </w:tcPr>
          <w:p w14:paraId="14CA531B" w14:textId="6D1AE0F5" w:rsidR="00850677" w:rsidRPr="00302082" w:rsidRDefault="00850677" w:rsidP="00850677">
            <w:pPr>
              <w:spacing w:after="120"/>
              <w:rPr>
                <w:rFonts w:ascii="Arial" w:hAnsi="Arial" w:cs="Arial"/>
                <w:b/>
              </w:rPr>
            </w:pPr>
            <w:r w:rsidRPr="00D4600B">
              <w:rPr>
                <w:rFonts w:ascii="Arial" w:hAnsi="Arial" w:cs="Arial"/>
                <w:b/>
              </w:rPr>
              <w:t>x</w:t>
            </w:r>
          </w:p>
        </w:tc>
        <w:tc>
          <w:tcPr>
            <w:tcW w:w="350" w:type="pct"/>
          </w:tcPr>
          <w:p w14:paraId="30E2E636" w14:textId="7E3B4469" w:rsidR="00850677" w:rsidRPr="00302082" w:rsidRDefault="00850677" w:rsidP="00850677">
            <w:pPr>
              <w:spacing w:after="120"/>
              <w:rPr>
                <w:rFonts w:ascii="Arial" w:hAnsi="Arial" w:cs="Arial"/>
                <w:b/>
              </w:rPr>
            </w:pPr>
            <w:r w:rsidRPr="00D4600B">
              <w:rPr>
                <w:rFonts w:ascii="Arial" w:hAnsi="Arial" w:cs="Arial"/>
                <w:b/>
              </w:rPr>
              <w:t>x</w:t>
            </w:r>
          </w:p>
        </w:tc>
        <w:tc>
          <w:tcPr>
            <w:tcW w:w="350" w:type="pct"/>
          </w:tcPr>
          <w:p w14:paraId="0BA67053" w14:textId="4FF891A1" w:rsidR="00850677" w:rsidRPr="00302082" w:rsidRDefault="00850677" w:rsidP="00850677">
            <w:pPr>
              <w:spacing w:after="120"/>
              <w:rPr>
                <w:rFonts w:ascii="Arial" w:hAnsi="Arial" w:cs="Arial"/>
                <w:b/>
              </w:rPr>
            </w:pPr>
            <w:r w:rsidRPr="00D4600B">
              <w:rPr>
                <w:rFonts w:ascii="Arial" w:hAnsi="Arial" w:cs="Arial"/>
                <w:b/>
              </w:rPr>
              <w:t>x</w:t>
            </w:r>
          </w:p>
        </w:tc>
        <w:tc>
          <w:tcPr>
            <w:tcW w:w="350" w:type="pct"/>
          </w:tcPr>
          <w:p w14:paraId="0B2FD74E" w14:textId="73CF112C" w:rsidR="00850677" w:rsidRPr="00302082" w:rsidRDefault="00850677" w:rsidP="00850677">
            <w:pPr>
              <w:spacing w:after="120"/>
              <w:rPr>
                <w:rFonts w:ascii="Arial" w:hAnsi="Arial" w:cs="Arial"/>
                <w:b/>
              </w:rPr>
            </w:pPr>
            <w:r w:rsidRPr="00D4600B">
              <w:rPr>
                <w:rFonts w:ascii="Arial" w:hAnsi="Arial" w:cs="Arial"/>
                <w:b/>
              </w:rPr>
              <w:t>x</w:t>
            </w:r>
          </w:p>
        </w:tc>
        <w:tc>
          <w:tcPr>
            <w:tcW w:w="346" w:type="pct"/>
          </w:tcPr>
          <w:p w14:paraId="456372D3" w14:textId="545F8591" w:rsidR="00850677" w:rsidRPr="00302082" w:rsidRDefault="00850677" w:rsidP="00850677">
            <w:pPr>
              <w:spacing w:after="120"/>
              <w:rPr>
                <w:rFonts w:ascii="Arial" w:hAnsi="Arial" w:cs="Arial"/>
                <w:b/>
              </w:rPr>
            </w:pPr>
            <w:r w:rsidRPr="00D4600B">
              <w:rPr>
                <w:rFonts w:ascii="Arial" w:hAnsi="Arial" w:cs="Arial"/>
                <w:b/>
              </w:rPr>
              <w:t>x</w:t>
            </w:r>
          </w:p>
        </w:tc>
      </w:tr>
      <w:tr w:rsidR="00850677" w:rsidRPr="00302082" w14:paraId="77AF31E7" w14:textId="77777777" w:rsidTr="00E97530">
        <w:tc>
          <w:tcPr>
            <w:tcW w:w="1503" w:type="pct"/>
          </w:tcPr>
          <w:p w14:paraId="06C07FAF" w14:textId="2BFB3045" w:rsidR="00850677" w:rsidRPr="00154D48" w:rsidRDefault="00850677" w:rsidP="00850677">
            <w:pPr>
              <w:spacing w:after="120"/>
              <w:rPr>
                <w:rFonts w:ascii="Arial" w:hAnsi="Arial" w:cs="Arial"/>
              </w:rPr>
            </w:pPr>
            <w:r>
              <w:rPr>
                <w:rFonts w:ascii="Arial" w:hAnsi="Arial" w:cs="Arial"/>
              </w:rPr>
              <w:t>Independent Study</w:t>
            </w:r>
          </w:p>
        </w:tc>
        <w:tc>
          <w:tcPr>
            <w:tcW w:w="350" w:type="pct"/>
          </w:tcPr>
          <w:p w14:paraId="21EF1539" w14:textId="2042CEB8" w:rsidR="00850677" w:rsidRPr="00302082" w:rsidRDefault="00850677" w:rsidP="00850677">
            <w:pPr>
              <w:spacing w:after="120"/>
              <w:rPr>
                <w:rFonts w:ascii="Arial" w:hAnsi="Arial" w:cs="Arial"/>
                <w:b/>
              </w:rPr>
            </w:pPr>
            <w:r w:rsidRPr="00D4600B">
              <w:rPr>
                <w:rFonts w:ascii="Arial" w:hAnsi="Arial" w:cs="Arial"/>
                <w:b/>
              </w:rPr>
              <w:t>x</w:t>
            </w:r>
          </w:p>
        </w:tc>
        <w:tc>
          <w:tcPr>
            <w:tcW w:w="350" w:type="pct"/>
          </w:tcPr>
          <w:p w14:paraId="6C0DEB78" w14:textId="4EEFA1B2" w:rsidR="00850677" w:rsidRPr="00302082" w:rsidRDefault="00850677" w:rsidP="00850677">
            <w:pPr>
              <w:spacing w:after="120"/>
              <w:rPr>
                <w:rFonts w:ascii="Arial" w:hAnsi="Arial" w:cs="Arial"/>
                <w:b/>
              </w:rPr>
            </w:pPr>
            <w:r w:rsidRPr="00D4600B">
              <w:rPr>
                <w:rFonts w:ascii="Arial" w:hAnsi="Arial" w:cs="Arial"/>
                <w:b/>
              </w:rPr>
              <w:t>x</w:t>
            </w:r>
          </w:p>
        </w:tc>
        <w:tc>
          <w:tcPr>
            <w:tcW w:w="350" w:type="pct"/>
          </w:tcPr>
          <w:p w14:paraId="6D0F4A89" w14:textId="5CF45468" w:rsidR="00850677" w:rsidRPr="00302082" w:rsidRDefault="00850677" w:rsidP="00850677">
            <w:pPr>
              <w:spacing w:after="120"/>
              <w:rPr>
                <w:rFonts w:ascii="Arial" w:hAnsi="Arial" w:cs="Arial"/>
                <w:b/>
              </w:rPr>
            </w:pPr>
            <w:r w:rsidRPr="00D4600B">
              <w:rPr>
                <w:rFonts w:ascii="Arial" w:hAnsi="Arial" w:cs="Arial"/>
                <w:b/>
              </w:rPr>
              <w:t>x</w:t>
            </w:r>
          </w:p>
        </w:tc>
        <w:tc>
          <w:tcPr>
            <w:tcW w:w="350" w:type="pct"/>
          </w:tcPr>
          <w:p w14:paraId="7EAB51FE" w14:textId="3B8FB59A" w:rsidR="00850677" w:rsidRPr="00302082" w:rsidRDefault="00850677" w:rsidP="00850677">
            <w:pPr>
              <w:spacing w:after="120"/>
              <w:rPr>
                <w:rFonts w:ascii="Arial" w:hAnsi="Arial" w:cs="Arial"/>
                <w:b/>
              </w:rPr>
            </w:pPr>
            <w:r w:rsidRPr="00D4600B">
              <w:rPr>
                <w:rFonts w:ascii="Arial" w:hAnsi="Arial" w:cs="Arial"/>
                <w:b/>
              </w:rPr>
              <w:t>x</w:t>
            </w:r>
          </w:p>
        </w:tc>
        <w:tc>
          <w:tcPr>
            <w:tcW w:w="350" w:type="pct"/>
          </w:tcPr>
          <w:p w14:paraId="0D757097" w14:textId="30A60BAE" w:rsidR="00850677" w:rsidRPr="00302082" w:rsidRDefault="00850677" w:rsidP="00850677">
            <w:pPr>
              <w:spacing w:after="120"/>
              <w:rPr>
                <w:rFonts w:ascii="Arial" w:hAnsi="Arial" w:cs="Arial"/>
                <w:b/>
              </w:rPr>
            </w:pPr>
            <w:r w:rsidRPr="00D4600B">
              <w:rPr>
                <w:rFonts w:ascii="Arial" w:hAnsi="Arial" w:cs="Arial"/>
                <w:b/>
              </w:rPr>
              <w:t>x</w:t>
            </w:r>
          </w:p>
        </w:tc>
        <w:tc>
          <w:tcPr>
            <w:tcW w:w="350" w:type="pct"/>
          </w:tcPr>
          <w:p w14:paraId="6D6D194F" w14:textId="3B351389" w:rsidR="00850677" w:rsidRPr="00302082" w:rsidRDefault="00850677" w:rsidP="00850677">
            <w:pPr>
              <w:spacing w:after="120"/>
              <w:rPr>
                <w:rFonts w:ascii="Arial" w:hAnsi="Arial" w:cs="Arial"/>
                <w:b/>
              </w:rPr>
            </w:pPr>
            <w:r w:rsidRPr="00D4600B">
              <w:rPr>
                <w:rFonts w:ascii="Arial" w:hAnsi="Arial" w:cs="Arial"/>
                <w:b/>
              </w:rPr>
              <w:t>x</w:t>
            </w:r>
          </w:p>
        </w:tc>
        <w:tc>
          <w:tcPr>
            <w:tcW w:w="350" w:type="pct"/>
          </w:tcPr>
          <w:p w14:paraId="0D70DE58" w14:textId="42BC6196" w:rsidR="00850677" w:rsidRPr="00302082" w:rsidRDefault="00850677" w:rsidP="00850677">
            <w:pPr>
              <w:spacing w:after="120"/>
              <w:rPr>
                <w:rFonts w:ascii="Arial" w:hAnsi="Arial" w:cs="Arial"/>
                <w:b/>
              </w:rPr>
            </w:pPr>
            <w:r w:rsidRPr="00D4600B">
              <w:rPr>
                <w:rFonts w:ascii="Arial" w:hAnsi="Arial" w:cs="Arial"/>
                <w:b/>
              </w:rPr>
              <w:t>x</w:t>
            </w:r>
          </w:p>
        </w:tc>
        <w:tc>
          <w:tcPr>
            <w:tcW w:w="350" w:type="pct"/>
          </w:tcPr>
          <w:p w14:paraId="3E0E8626" w14:textId="0DF7BB09" w:rsidR="00850677" w:rsidRPr="00302082" w:rsidRDefault="00850677" w:rsidP="00850677">
            <w:pPr>
              <w:spacing w:after="120"/>
              <w:rPr>
                <w:rFonts w:ascii="Arial" w:hAnsi="Arial" w:cs="Arial"/>
                <w:b/>
              </w:rPr>
            </w:pPr>
            <w:r w:rsidRPr="00D4600B">
              <w:rPr>
                <w:rFonts w:ascii="Arial" w:hAnsi="Arial" w:cs="Arial"/>
                <w:b/>
              </w:rPr>
              <w:t>x</w:t>
            </w:r>
          </w:p>
        </w:tc>
        <w:tc>
          <w:tcPr>
            <w:tcW w:w="350" w:type="pct"/>
          </w:tcPr>
          <w:p w14:paraId="4E3D31C7" w14:textId="69D2BB12" w:rsidR="00850677" w:rsidRPr="00302082" w:rsidRDefault="00850677" w:rsidP="00850677">
            <w:pPr>
              <w:spacing w:after="120"/>
              <w:rPr>
                <w:rFonts w:ascii="Arial" w:hAnsi="Arial" w:cs="Arial"/>
                <w:b/>
              </w:rPr>
            </w:pPr>
            <w:r w:rsidRPr="00D4600B">
              <w:rPr>
                <w:rFonts w:ascii="Arial" w:hAnsi="Arial" w:cs="Arial"/>
                <w:b/>
              </w:rPr>
              <w:t>x</w:t>
            </w:r>
          </w:p>
        </w:tc>
        <w:tc>
          <w:tcPr>
            <w:tcW w:w="346" w:type="pct"/>
          </w:tcPr>
          <w:p w14:paraId="1CAB6E32" w14:textId="6F93F852" w:rsidR="00850677" w:rsidRPr="00302082" w:rsidRDefault="00850677" w:rsidP="00850677">
            <w:pPr>
              <w:spacing w:after="120"/>
              <w:rPr>
                <w:rFonts w:ascii="Arial" w:hAnsi="Arial" w:cs="Arial"/>
                <w:b/>
              </w:rPr>
            </w:pPr>
            <w:r w:rsidRPr="00D4600B">
              <w:rPr>
                <w:rFonts w:ascii="Arial" w:hAnsi="Arial" w:cs="Arial"/>
                <w:b/>
              </w:rPr>
              <w:t>x</w:t>
            </w:r>
          </w:p>
        </w:tc>
      </w:tr>
    </w:tbl>
    <w:p w14:paraId="72CAE223" w14:textId="2F43B472" w:rsidR="00E97530" w:rsidRDefault="00E97530"/>
    <w:p w14:paraId="48718DD2" w14:textId="2905F3AB" w:rsidR="00E97530" w:rsidRPr="00E97530" w:rsidRDefault="00E97530" w:rsidP="00E97530">
      <w:pPr>
        <w:spacing w:after="120" w:line="240" w:lineRule="auto"/>
        <w:ind w:right="543"/>
        <w:jc w:val="both"/>
        <w:rPr>
          <w:rFonts w:ascii="Arial" w:hAnsi="Arial" w:cs="Arial"/>
          <w:b/>
          <w:bCs/>
        </w:rPr>
      </w:pPr>
      <w:r w:rsidRPr="00E97530">
        <w:rPr>
          <w:rFonts w:ascii="Arial" w:hAnsi="Arial" w:cs="Arial"/>
          <w:b/>
          <w:bCs/>
        </w:rPr>
        <w:t xml:space="preserve">Module learning outcomes against </w:t>
      </w:r>
      <w:r>
        <w:rPr>
          <w:rFonts w:ascii="Arial" w:hAnsi="Arial" w:cs="Arial"/>
          <w:b/>
          <w:bCs/>
        </w:rPr>
        <w:t>assessment</w:t>
      </w:r>
      <w:r w:rsidRPr="00E97530">
        <w:rPr>
          <w:rFonts w:ascii="Arial" w:hAnsi="Arial" w:cs="Arial"/>
          <w:b/>
          <w:bCs/>
        </w:rPr>
        <w:t xml:space="preserve"> methods:</w:t>
      </w:r>
    </w:p>
    <w:tbl>
      <w:tblPr>
        <w:tblStyle w:val="TableGrid"/>
        <w:tblW w:w="5000" w:type="pct"/>
        <w:tblLook w:val="04A0" w:firstRow="1" w:lastRow="0" w:firstColumn="1" w:lastColumn="0" w:noHBand="0" w:noVBand="1"/>
      </w:tblPr>
      <w:tblGrid>
        <w:gridCol w:w="3144"/>
        <w:gridCol w:w="732"/>
        <w:gridCol w:w="732"/>
        <w:gridCol w:w="732"/>
        <w:gridCol w:w="732"/>
        <w:gridCol w:w="732"/>
        <w:gridCol w:w="732"/>
        <w:gridCol w:w="732"/>
        <w:gridCol w:w="732"/>
        <w:gridCol w:w="732"/>
        <w:gridCol w:w="724"/>
      </w:tblGrid>
      <w:tr w:rsidR="00E97530" w:rsidRPr="00302082" w14:paraId="30E7A78A" w14:textId="77777777" w:rsidTr="00E97530">
        <w:tc>
          <w:tcPr>
            <w:tcW w:w="1503" w:type="pct"/>
            <w:shd w:val="clear" w:color="auto" w:fill="D9D9D9" w:themeFill="background1" w:themeFillShade="D9"/>
          </w:tcPr>
          <w:p w14:paraId="171A5E89" w14:textId="56691669" w:rsidR="00E97530" w:rsidRPr="00302082" w:rsidRDefault="00E97530" w:rsidP="00E97530">
            <w:pPr>
              <w:spacing w:after="120"/>
              <w:rPr>
                <w:rFonts w:ascii="Arial" w:hAnsi="Arial" w:cs="Arial"/>
                <w:b/>
              </w:rPr>
            </w:pPr>
            <w:r w:rsidRPr="00302082">
              <w:rPr>
                <w:rFonts w:ascii="Arial" w:hAnsi="Arial" w:cs="Arial"/>
                <w:b/>
              </w:rPr>
              <w:t>Module learning outcome</w:t>
            </w:r>
          </w:p>
        </w:tc>
        <w:tc>
          <w:tcPr>
            <w:tcW w:w="350" w:type="pct"/>
          </w:tcPr>
          <w:p w14:paraId="69A96BBC" w14:textId="188DACDD" w:rsidR="00E97530" w:rsidRPr="00302082" w:rsidRDefault="00E97530" w:rsidP="00E97530">
            <w:pPr>
              <w:spacing w:after="120"/>
              <w:rPr>
                <w:rFonts w:ascii="Arial" w:hAnsi="Arial" w:cs="Arial"/>
                <w:b/>
              </w:rPr>
            </w:pPr>
            <w:r w:rsidRPr="002302FD">
              <w:rPr>
                <w:rFonts w:ascii="Arial" w:hAnsi="Arial" w:cs="Arial"/>
              </w:rPr>
              <w:t>8.1</w:t>
            </w:r>
          </w:p>
        </w:tc>
        <w:tc>
          <w:tcPr>
            <w:tcW w:w="350" w:type="pct"/>
          </w:tcPr>
          <w:p w14:paraId="2396ED74" w14:textId="0E2D5149" w:rsidR="00E97530" w:rsidRPr="00302082" w:rsidRDefault="00E97530" w:rsidP="00E97530">
            <w:pPr>
              <w:spacing w:after="120"/>
              <w:rPr>
                <w:rFonts w:ascii="Arial" w:hAnsi="Arial" w:cs="Arial"/>
                <w:b/>
              </w:rPr>
            </w:pPr>
            <w:r w:rsidRPr="002302FD">
              <w:rPr>
                <w:rFonts w:ascii="Arial" w:hAnsi="Arial" w:cs="Arial"/>
              </w:rPr>
              <w:t>8.2</w:t>
            </w:r>
          </w:p>
        </w:tc>
        <w:tc>
          <w:tcPr>
            <w:tcW w:w="350" w:type="pct"/>
          </w:tcPr>
          <w:p w14:paraId="70205307" w14:textId="7B941D6E" w:rsidR="00E97530" w:rsidRPr="00302082" w:rsidRDefault="00E97530" w:rsidP="00E97530">
            <w:pPr>
              <w:spacing w:after="120"/>
              <w:rPr>
                <w:rFonts w:ascii="Arial" w:hAnsi="Arial" w:cs="Arial"/>
                <w:b/>
              </w:rPr>
            </w:pPr>
            <w:r w:rsidRPr="002302FD">
              <w:rPr>
                <w:rFonts w:ascii="Arial" w:hAnsi="Arial" w:cs="Arial"/>
              </w:rPr>
              <w:t>8.3</w:t>
            </w:r>
          </w:p>
        </w:tc>
        <w:tc>
          <w:tcPr>
            <w:tcW w:w="350" w:type="pct"/>
          </w:tcPr>
          <w:p w14:paraId="231E3638" w14:textId="7C3A02D6" w:rsidR="00E97530" w:rsidRPr="00302082" w:rsidRDefault="00E97530" w:rsidP="00E97530">
            <w:pPr>
              <w:spacing w:after="120"/>
              <w:rPr>
                <w:rFonts w:ascii="Arial" w:hAnsi="Arial" w:cs="Arial"/>
                <w:b/>
              </w:rPr>
            </w:pPr>
            <w:r w:rsidRPr="002302FD">
              <w:rPr>
                <w:rFonts w:ascii="Arial" w:hAnsi="Arial" w:cs="Arial"/>
              </w:rPr>
              <w:t>8.4</w:t>
            </w:r>
          </w:p>
        </w:tc>
        <w:tc>
          <w:tcPr>
            <w:tcW w:w="350" w:type="pct"/>
          </w:tcPr>
          <w:p w14:paraId="5912D3CA" w14:textId="588BD1F0" w:rsidR="00E97530" w:rsidRPr="00302082" w:rsidRDefault="00E97530" w:rsidP="00E97530">
            <w:pPr>
              <w:spacing w:after="120"/>
              <w:rPr>
                <w:rFonts w:ascii="Arial" w:hAnsi="Arial" w:cs="Arial"/>
                <w:b/>
              </w:rPr>
            </w:pPr>
            <w:r w:rsidRPr="002302FD">
              <w:rPr>
                <w:rFonts w:ascii="Arial" w:hAnsi="Arial" w:cs="Arial"/>
              </w:rPr>
              <w:t>8.5</w:t>
            </w:r>
          </w:p>
        </w:tc>
        <w:tc>
          <w:tcPr>
            <w:tcW w:w="350" w:type="pct"/>
          </w:tcPr>
          <w:p w14:paraId="4253D73B" w14:textId="0701CA52" w:rsidR="00E97530" w:rsidRPr="00302082" w:rsidRDefault="00E97530" w:rsidP="00E97530">
            <w:pPr>
              <w:spacing w:after="120"/>
              <w:rPr>
                <w:rFonts w:ascii="Arial" w:hAnsi="Arial" w:cs="Arial"/>
                <w:b/>
              </w:rPr>
            </w:pPr>
            <w:r w:rsidRPr="002302FD">
              <w:rPr>
                <w:rFonts w:ascii="Arial" w:hAnsi="Arial" w:cs="Arial"/>
              </w:rPr>
              <w:t>9.1</w:t>
            </w:r>
          </w:p>
        </w:tc>
        <w:tc>
          <w:tcPr>
            <w:tcW w:w="350" w:type="pct"/>
          </w:tcPr>
          <w:p w14:paraId="2574CD06" w14:textId="6ABB4F01" w:rsidR="00E97530" w:rsidRPr="00302082" w:rsidRDefault="00E97530" w:rsidP="00E97530">
            <w:pPr>
              <w:spacing w:after="120"/>
              <w:rPr>
                <w:rFonts w:ascii="Arial" w:hAnsi="Arial" w:cs="Arial"/>
                <w:b/>
              </w:rPr>
            </w:pPr>
            <w:r w:rsidRPr="002302FD">
              <w:rPr>
                <w:rFonts w:ascii="Arial" w:hAnsi="Arial" w:cs="Arial"/>
              </w:rPr>
              <w:t>9.2</w:t>
            </w:r>
          </w:p>
        </w:tc>
        <w:tc>
          <w:tcPr>
            <w:tcW w:w="350" w:type="pct"/>
          </w:tcPr>
          <w:p w14:paraId="0CEA29D0" w14:textId="2ED2C171" w:rsidR="00E97530" w:rsidRPr="00302082" w:rsidRDefault="00E97530" w:rsidP="00E97530">
            <w:pPr>
              <w:spacing w:after="120"/>
              <w:rPr>
                <w:rFonts w:ascii="Arial" w:hAnsi="Arial" w:cs="Arial"/>
                <w:b/>
              </w:rPr>
            </w:pPr>
            <w:r w:rsidRPr="002302FD">
              <w:rPr>
                <w:rFonts w:ascii="Arial" w:hAnsi="Arial" w:cs="Arial"/>
              </w:rPr>
              <w:t>9.3</w:t>
            </w:r>
          </w:p>
        </w:tc>
        <w:tc>
          <w:tcPr>
            <w:tcW w:w="350" w:type="pct"/>
          </w:tcPr>
          <w:p w14:paraId="0E52C0BF" w14:textId="6653CAFD" w:rsidR="00E97530" w:rsidRPr="00302082" w:rsidRDefault="00E97530" w:rsidP="00E97530">
            <w:pPr>
              <w:spacing w:after="120"/>
              <w:rPr>
                <w:rFonts w:ascii="Arial" w:hAnsi="Arial" w:cs="Arial"/>
                <w:b/>
              </w:rPr>
            </w:pPr>
            <w:r w:rsidRPr="002302FD">
              <w:rPr>
                <w:rFonts w:ascii="Arial" w:hAnsi="Arial" w:cs="Arial"/>
              </w:rPr>
              <w:t>9.4</w:t>
            </w:r>
          </w:p>
        </w:tc>
        <w:tc>
          <w:tcPr>
            <w:tcW w:w="346" w:type="pct"/>
          </w:tcPr>
          <w:p w14:paraId="17B90AFF" w14:textId="379F3BEE" w:rsidR="00E97530" w:rsidRPr="00302082" w:rsidRDefault="00E97530" w:rsidP="00E97530">
            <w:pPr>
              <w:spacing w:after="120"/>
              <w:rPr>
                <w:rFonts w:ascii="Arial" w:hAnsi="Arial" w:cs="Arial"/>
                <w:b/>
              </w:rPr>
            </w:pPr>
            <w:r w:rsidRPr="002302FD">
              <w:rPr>
                <w:rFonts w:ascii="Arial" w:hAnsi="Arial" w:cs="Arial"/>
              </w:rPr>
              <w:t>9.5</w:t>
            </w:r>
          </w:p>
        </w:tc>
      </w:tr>
      <w:tr w:rsidR="00850677" w:rsidRPr="00302082" w14:paraId="0B526A24" w14:textId="77777777" w:rsidTr="00E97530">
        <w:tc>
          <w:tcPr>
            <w:tcW w:w="1503" w:type="pct"/>
          </w:tcPr>
          <w:p w14:paraId="421316E0" w14:textId="18003583" w:rsidR="00850677" w:rsidRPr="00154D48" w:rsidRDefault="00E97530" w:rsidP="00850677">
            <w:pPr>
              <w:spacing w:after="120"/>
              <w:rPr>
                <w:rFonts w:ascii="Arial" w:hAnsi="Arial" w:cs="Arial"/>
              </w:rPr>
            </w:pPr>
            <w:r>
              <w:rPr>
                <w:rFonts w:ascii="Arial" w:hAnsi="Arial" w:cs="Arial"/>
              </w:rPr>
              <w:t>VLE Test 1</w:t>
            </w:r>
          </w:p>
        </w:tc>
        <w:tc>
          <w:tcPr>
            <w:tcW w:w="350" w:type="pct"/>
          </w:tcPr>
          <w:p w14:paraId="71615CA0" w14:textId="275A5CA3" w:rsidR="00850677" w:rsidRPr="00302082" w:rsidRDefault="00850677" w:rsidP="00850677">
            <w:pPr>
              <w:spacing w:after="120"/>
              <w:rPr>
                <w:rFonts w:ascii="Arial" w:hAnsi="Arial" w:cs="Arial"/>
                <w:b/>
              </w:rPr>
            </w:pPr>
            <w:r w:rsidRPr="000179E3">
              <w:rPr>
                <w:rFonts w:ascii="Arial" w:hAnsi="Arial" w:cs="Arial"/>
                <w:b/>
              </w:rPr>
              <w:t>x</w:t>
            </w:r>
          </w:p>
        </w:tc>
        <w:tc>
          <w:tcPr>
            <w:tcW w:w="350" w:type="pct"/>
          </w:tcPr>
          <w:p w14:paraId="3F2B4A61" w14:textId="3D13B383" w:rsidR="00850677" w:rsidRPr="00302082" w:rsidRDefault="00850677" w:rsidP="00850677">
            <w:pPr>
              <w:spacing w:after="120"/>
              <w:rPr>
                <w:rFonts w:ascii="Arial" w:hAnsi="Arial" w:cs="Arial"/>
                <w:b/>
              </w:rPr>
            </w:pPr>
            <w:r w:rsidRPr="000179E3">
              <w:rPr>
                <w:rFonts w:ascii="Arial" w:hAnsi="Arial" w:cs="Arial"/>
                <w:b/>
              </w:rPr>
              <w:t>x</w:t>
            </w:r>
          </w:p>
        </w:tc>
        <w:tc>
          <w:tcPr>
            <w:tcW w:w="350" w:type="pct"/>
          </w:tcPr>
          <w:p w14:paraId="7AD14693" w14:textId="54EFE5F3" w:rsidR="00850677" w:rsidRPr="00302082" w:rsidRDefault="00850677" w:rsidP="00850677">
            <w:pPr>
              <w:spacing w:after="120"/>
              <w:rPr>
                <w:rFonts w:ascii="Arial" w:hAnsi="Arial" w:cs="Arial"/>
                <w:b/>
              </w:rPr>
            </w:pPr>
            <w:r w:rsidRPr="000179E3">
              <w:rPr>
                <w:rFonts w:ascii="Arial" w:hAnsi="Arial" w:cs="Arial"/>
                <w:b/>
              </w:rPr>
              <w:t>x</w:t>
            </w:r>
          </w:p>
        </w:tc>
        <w:tc>
          <w:tcPr>
            <w:tcW w:w="350" w:type="pct"/>
          </w:tcPr>
          <w:p w14:paraId="498D5F5A" w14:textId="76E1CA62" w:rsidR="00850677" w:rsidRPr="00302082" w:rsidRDefault="00850677" w:rsidP="00850677">
            <w:pPr>
              <w:spacing w:after="120"/>
              <w:rPr>
                <w:rFonts w:ascii="Arial" w:hAnsi="Arial" w:cs="Arial"/>
                <w:b/>
              </w:rPr>
            </w:pPr>
            <w:r w:rsidRPr="000179E3">
              <w:rPr>
                <w:rFonts w:ascii="Arial" w:hAnsi="Arial" w:cs="Arial"/>
                <w:b/>
              </w:rPr>
              <w:t>x</w:t>
            </w:r>
          </w:p>
        </w:tc>
        <w:tc>
          <w:tcPr>
            <w:tcW w:w="350" w:type="pct"/>
          </w:tcPr>
          <w:p w14:paraId="4F8FD38A" w14:textId="4C64E2A0" w:rsidR="00850677" w:rsidRPr="00302082" w:rsidRDefault="00850677" w:rsidP="00850677">
            <w:pPr>
              <w:spacing w:after="120"/>
              <w:rPr>
                <w:rFonts w:ascii="Arial" w:hAnsi="Arial" w:cs="Arial"/>
                <w:b/>
              </w:rPr>
            </w:pPr>
            <w:r w:rsidRPr="000179E3">
              <w:rPr>
                <w:rFonts w:ascii="Arial" w:hAnsi="Arial" w:cs="Arial"/>
                <w:b/>
              </w:rPr>
              <w:t>x</w:t>
            </w:r>
          </w:p>
        </w:tc>
        <w:tc>
          <w:tcPr>
            <w:tcW w:w="350" w:type="pct"/>
          </w:tcPr>
          <w:p w14:paraId="5BB338C9" w14:textId="01E89A6F" w:rsidR="00850677" w:rsidRPr="00302082" w:rsidRDefault="00850677" w:rsidP="00850677">
            <w:pPr>
              <w:spacing w:after="120"/>
              <w:rPr>
                <w:rFonts w:ascii="Arial" w:hAnsi="Arial" w:cs="Arial"/>
                <w:b/>
              </w:rPr>
            </w:pPr>
            <w:r w:rsidRPr="000179E3">
              <w:rPr>
                <w:rFonts w:ascii="Arial" w:hAnsi="Arial" w:cs="Arial"/>
                <w:b/>
              </w:rPr>
              <w:t>x</w:t>
            </w:r>
          </w:p>
        </w:tc>
        <w:tc>
          <w:tcPr>
            <w:tcW w:w="350" w:type="pct"/>
          </w:tcPr>
          <w:p w14:paraId="05966731" w14:textId="04E295A5" w:rsidR="00850677" w:rsidRPr="00302082" w:rsidRDefault="00850677" w:rsidP="00850677">
            <w:pPr>
              <w:spacing w:after="120"/>
              <w:rPr>
                <w:rFonts w:ascii="Arial" w:hAnsi="Arial" w:cs="Arial"/>
                <w:b/>
              </w:rPr>
            </w:pPr>
          </w:p>
        </w:tc>
        <w:tc>
          <w:tcPr>
            <w:tcW w:w="350" w:type="pct"/>
          </w:tcPr>
          <w:p w14:paraId="7601730D" w14:textId="60C5D0BE" w:rsidR="00850677" w:rsidRPr="00302082" w:rsidRDefault="00850677" w:rsidP="00850677">
            <w:pPr>
              <w:spacing w:after="120"/>
              <w:rPr>
                <w:rFonts w:ascii="Arial" w:hAnsi="Arial" w:cs="Arial"/>
                <w:b/>
              </w:rPr>
            </w:pPr>
            <w:r w:rsidRPr="000179E3">
              <w:rPr>
                <w:rFonts w:ascii="Arial" w:hAnsi="Arial" w:cs="Arial"/>
                <w:b/>
              </w:rPr>
              <w:t>x</w:t>
            </w:r>
          </w:p>
        </w:tc>
        <w:tc>
          <w:tcPr>
            <w:tcW w:w="350" w:type="pct"/>
          </w:tcPr>
          <w:p w14:paraId="30A7B907" w14:textId="5619B1F5" w:rsidR="00850677" w:rsidRPr="00302082" w:rsidRDefault="00850677" w:rsidP="00850677">
            <w:pPr>
              <w:spacing w:after="120"/>
              <w:rPr>
                <w:rFonts w:ascii="Arial" w:hAnsi="Arial" w:cs="Arial"/>
                <w:b/>
              </w:rPr>
            </w:pPr>
            <w:r w:rsidRPr="000179E3">
              <w:rPr>
                <w:rFonts w:ascii="Arial" w:hAnsi="Arial" w:cs="Arial"/>
                <w:b/>
              </w:rPr>
              <w:t>x</w:t>
            </w:r>
          </w:p>
        </w:tc>
        <w:tc>
          <w:tcPr>
            <w:tcW w:w="346" w:type="pct"/>
          </w:tcPr>
          <w:p w14:paraId="2D720C66" w14:textId="7B21F9B6" w:rsidR="00850677" w:rsidRPr="00302082" w:rsidRDefault="00850677" w:rsidP="00850677">
            <w:pPr>
              <w:spacing w:after="120"/>
              <w:rPr>
                <w:rFonts w:ascii="Arial" w:hAnsi="Arial" w:cs="Arial"/>
                <w:b/>
              </w:rPr>
            </w:pPr>
            <w:r w:rsidRPr="000179E3">
              <w:rPr>
                <w:rFonts w:ascii="Arial" w:hAnsi="Arial" w:cs="Arial"/>
                <w:b/>
              </w:rPr>
              <w:t>x</w:t>
            </w:r>
          </w:p>
        </w:tc>
      </w:tr>
      <w:tr w:rsidR="00E97530" w:rsidRPr="00302082" w14:paraId="64327621" w14:textId="77777777" w:rsidTr="00E97530">
        <w:tc>
          <w:tcPr>
            <w:tcW w:w="1503" w:type="pct"/>
          </w:tcPr>
          <w:p w14:paraId="73E293E1" w14:textId="27E2DFD9" w:rsidR="00E97530" w:rsidRDefault="00E97530" w:rsidP="00E97530">
            <w:pPr>
              <w:spacing w:after="120"/>
              <w:rPr>
                <w:rFonts w:ascii="Arial" w:hAnsi="Arial" w:cs="Arial"/>
              </w:rPr>
            </w:pPr>
            <w:r>
              <w:rPr>
                <w:rFonts w:ascii="Arial" w:hAnsi="Arial" w:cs="Arial"/>
              </w:rPr>
              <w:t xml:space="preserve">VLE Test </w:t>
            </w:r>
            <w:r>
              <w:rPr>
                <w:rFonts w:ascii="Arial" w:hAnsi="Arial" w:cs="Arial"/>
              </w:rPr>
              <w:t>2</w:t>
            </w:r>
          </w:p>
        </w:tc>
        <w:tc>
          <w:tcPr>
            <w:tcW w:w="350" w:type="pct"/>
          </w:tcPr>
          <w:p w14:paraId="565011E7" w14:textId="53554B88" w:rsidR="00E97530" w:rsidRPr="000179E3" w:rsidRDefault="00E97530" w:rsidP="00E97530">
            <w:pPr>
              <w:spacing w:after="120"/>
              <w:rPr>
                <w:rFonts w:ascii="Arial" w:hAnsi="Arial" w:cs="Arial"/>
                <w:b/>
              </w:rPr>
            </w:pPr>
            <w:r w:rsidRPr="000179E3">
              <w:rPr>
                <w:rFonts w:ascii="Arial" w:hAnsi="Arial" w:cs="Arial"/>
                <w:b/>
              </w:rPr>
              <w:t>x</w:t>
            </w:r>
          </w:p>
        </w:tc>
        <w:tc>
          <w:tcPr>
            <w:tcW w:w="350" w:type="pct"/>
          </w:tcPr>
          <w:p w14:paraId="58CBABCD" w14:textId="0A3F777A" w:rsidR="00E97530" w:rsidRPr="000179E3" w:rsidRDefault="00E97530" w:rsidP="00E97530">
            <w:pPr>
              <w:spacing w:after="120"/>
              <w:rPr>
                <w:rFonts w:ascii="Arial" w:hAnsi="Arial" w:cs="Arial"/>
                <w:b/>
              </w:rPr>
            </w:pPr>
            <w:r w:rsidRPr="000179E3">
              <w:rPr>
                <w:rFonts w:ascii="Arial" w:hAnsi="Arial" w:cs="Arial"/>
                <w:b/>
              </w:rPr>
              <w:t>x</w:t>
            </w:r>
          </w:p>
        </w:tc>
        <w:tc>
          <w:tcPr>
            <w:tcW w:w="350" w:type="pct"/>
          </w:tcPr>
          <w:p w14:paraId="188AABFF" w14:textId="3FD73958" w:rsidR="00E97530" w:rsidRPr="000179E3" w:rsidRDefault="00E97530" w:rsidP="00E97530">
            <w:pPr>
              <w:spacing w:after="120"/>
              <w:rPr>
                <w:rFonts w:ascii="Arial" w:hAnsi="Arial" w:cs="Arial"/>
                <w:b/>
              </w:rPr>
            </w:pPr>
            <w:r w:rsidRPr="000179E3">
              <w:rPr>
                <w:rFonts w:ascii="Arial" w:hAnsi="Arial" w:cs="Arial"/>
                <w:b/>
              </w:rPr>
              <w:t>x</w:t>
            </w:r>
          </w:p>
        </w:tc>
        <w:tc>
          <w:tcPr>
            <w:tcW w:w="350" w:type="pct"/>
          </w:tcPr>
          <w:p w14:paraId="1AF504EB" w14:textId="3EBFBD62" w:rsidR="00E97530" w:rsidRPr="000179E3" w:rsidRDefault="00E97530" w:rsidP="00E97530">
            <w:pPr>
              <w:spacing w:after="120"/>
              <w:rPr>
                <w:rFonts w:ascii="Arial" w:hAnsi="Arial" w:cs="Arial"/>
                <w:b/>
              </w:rPr>
            </w:pPr>
            <w:r w:rsidRPr="000179E3">
              <w:rPr>
                <w:rFonts w:ascii="Arial" w:hAnsi="Arial" w:cs="Arial"/>
                <w:b/>
              </w:rPr>
              <w:t>x</w:t>
            </w:r>
          </w:p>
        </w:tc>
        <w:tc>
          <w:tcPr>
            <w:tcW w:w="350" w:type="pct"/>
          </w:tcPr>
          <w:p w14:paraId="44CA7673" w14:textId="5CD13F54" w:rsidR="00E97530" w:rsidRPr="000179E3" w:rsidRDefault="00E97530" w:rsidP="00E97530">
            <w:pPr>
              <w:spacing w:after="120"/>
              <w:rPr>
                <w:rFonts w:ascii="Arial" w:hAnsi="Arial" w:cs="Arial"/>
                <w:b/>
              </w:rPr>
            </w:pPr>
            <w:r w:rsidRPr="000179E3">
              <w:rPr>
                <w:rFonts w:ascii="Arial" w:hAnsi="Arial" w:cs="Arial"/>
                <w:b/>
              </w:rPr>
              <w:t>x</w:t>
            </w:r>
          </w:p>
        </w:tc>
        <w:tc>
          <w:tcPr>
            <w:tcW w:w="350" w:type="pct"/>
          </w:tcPr>
          <w:p w14:paraId="262EF3C5" w14:textId="6277547A" w:rsidR="00E97530" w:rsidRPr="000179E3" w:rsidRDefault="00E97530" w:rsidP="00E97530">
            <w:pPr>
              <w:spacing w:after="120"/>
              <w:rPr>
                <w:rFonts w:ascii="Arial" w:hAnsi="Arial" w:cs="Arial"/>
                <w:b/>
              </w:rPr>
            </w:pPr>
            <w:r w:rsidRPr="000179E3">
              <w:rPr>
                <w:rFonts w:ascii="Arial" w:hAnsi="Arial" w:cs="Arial"/>
                <w:b/>
              </w:rPr>
              <w:t>x</w:t>
            </w:r>
          </w:p>
        </w:tc>
        <w:tc>
          <w:tcPr>
            <w:tcW w:w="350" w:type="pct"/>
          </w:tcPr>
          <w:p w14:paraId="724A85CF" w14:textId="77777777" w:rsidR="00E97530" w:rsidRPr="00302082" w:rsidRDefault="00E97530" w:rsidP="00E97530">
            <w:pPr>
              <w:spacing w:after="120"/>
              <w:rPr>
                <w:rFonts w:ascii="Arial" w:hAnsi="Arial" w:cs="Arial"/>
                <w:b/>
              </w:rPr>
            </w:pPr>
          </w:p>
        </w:tc>
        <w:tc>
          <w:tcPr>
            <w:tcW w:w="350" w:type="pct"/>
          </w:tcPr>
          <w:p w14:paraId="2FFC4DB6" w14:textId="16F0B9CB" w:rsidR="00E97530" w:rsidRPr="000179E3" w:rsidRDefault="00E97530" w:rsidP="00E97530">
            <w:pPr>
              <w:spacing w:after="120"/>
              <w:rPr>
                <w:rFonts w:ascii="Arial" w:hAnsi="Arial" w:cs="Arial"/>
                <w:b/>
              </w:rPr>
            </w:pPr>
            <w:r w:rsidRPr="000179E3">
              <w:rPr>
                <w:rFonts w:ascii="Arial" w:hAnsi="Arial" w:cs="Arial"/>
                <w:b/>
              </w:rPr>
              <w:t>x</w:t>
            </w:r>
          </w:p>
        </w:tc>
        <w:tc>
          <w:tcPr>
            <w:tcW w:w="350" w:type="pct"/>
          </w:tcPr>
          <w:p w14:paraId="7D3E0E2A" w14:textId="2C1462AF" w:rsidR="00E97530" w:rsidRPr="000179E3" w:rsidRDefault="00E97530" w:rsidP="00E97530">
            <w:pPr>
              <w:spacing w:after="120"/>
              <w:rPr>
                <w:rFonts w:ascii="Arial" w:hAnsi="Arial" w:cs="Arial"/>
                <w:b/>
              </w:rPr>
            </w:pPr>
            <w:r w:rsidRPr="000179E3">
              <w:rPr>
                <w:rFonts w:ascii="Arial" w:hAnsi="Arial" w:cs="Arial"/>
                <w:b/>
              </w:rPr>
              <w:t>x</w:t>
            </w:r>
          </w:p>
        </w:tc>
        <w:tc>
          <w:tcPr>
            <w:tcW w:w="346" w:type="pct"/>
          </w:tcPr>
          <w:p w14:paraId="50B2534C" w14:textId="251AA76C" w:rsidR="00E97530" w:rsidRPr="000179E3" w:rsidRDefault="00E97530" w:rsidP="00E97530">
            <w:pPr>
              <w:spacing w:after="120"/>
              <w:rPr>
                <w:rFonts w:ascii="Arial" w:hAnsi="Arial" w:cs="Arial"/>
                <w:b/>
              </w:rPr>
            </w:pPr>
            <w:r w:rsidRPr="000179E3">
              <w:rPr>
                <w:rFonts w:ascii="Arial" w:hAnsi="Arial" w:cs="Arial"/>
                <w:b/>
              </w:rPr>
              <w:t>x</w:t>
            </w:r>
          </w:p>
        </w:tc>
      </w:tr>
      <w:tr w:rsidR="00E97530" w:rsidRPr="00302082" w14:paraId="316A32BA" w14:textId="77777777" w:rsidTr="00E97530">
        <w:tc>
          <w:tcPr>
            <w:tcW w:w="1503" w:type="pct"/>
          </w:tcPr>
          <w:p w14:paraId="73BEACAF" w14:textId="2BEC0F0D" w:rsidR="00E97530" w:rsidRPr="00154D48" w:rsidRDefault="00E97530" w:rsidP="00E97530">
            <w:pPr>
              <w:spacing w:after="120"/>
              <w:rPr>
                <w:rFonts w:ascii="Arial" w:hAnsi="Arial" w:cs="Arial"/>
              </w:rPr>
            </w:pPr>
            <w:r>
              <w:rPr>
                <w:rFonts w:ascii="Arial" w:hAnsi="Arial" w:cs="Arial"/>
              </w:rPr>
              <w:t>Exam</w:t>
            </w:r>
          </w:p>
        </w:tc>
        <w:tc>
          <w:tcPr>
            <w:tcW w:w="350" w:type="pct"/>
          </w:tcPr>
          <w:p w14:paraId="74F3ABF5" w14:textId="50A09F7F" w:rsidR="00E97530" w:rsidRPr="00302082" w:rsidRDefault="00E97530" w:rsidP="00E97530">
            <w:pPr>
              <w:spacing w:after="120"/>
              <w:rPr>
                <w:rFonts w:ascii="Arial" w:hAnsi="Arial" w:cs="Arial"/>
                <w:b/>
              </w:rPr>
            </w:pPr>
            <w:r w:rsidRPr="000179E3">
              <w:rPr>
                <w:rFonts w:ascii="Arial" w:hAnsi="Arial" w:cs="Arial"/>
                <w:b/>
              </w:rPr>
              <w:t>x</w:t>
            </w:r>
          </w:p>
        </w:tc>
        <w:tc>
          <w:tcPr>
            <w:tcW w:w="350" w:type="pct"/>
          </w:tcPr>
          <w:p w14:paraId="4318D5E8" w14:textId="37DA8367" w:rsidR="00E97530" w:rsidRPr="00302082" w:rsidRDefault="00E97530" w:rsidP="00E97530">
            <w:pPr>
              <w:spacing w:after="120"/>
              <w:rPr>
                <w:rFonts w:ascii="Arial" w:hAnsi="Arial" w:cs="Arial"/>
                <w:b/>
              </w:rPr>
            </w:pPr>
            <w:r w:rsidRPr="000179E3">
              <w:rPr>
                <w:rFonts w:ascii="Arial" w:hAnsi="Arial" w:cs="Arial"/>
                <w:b/>
              </w:rPr>
              <w:t>x</w:t>
            </w:r>
          </w:p>
        </w:tc>
        <w:tc>
          <w:tcPr>
            <w:tcW w:w="350" w:type="pct"/>
          </w:tcPr>
          <w:p w14:paraId="2AD30185" w14:textId="12558BD3" w:rsidR="00E97530" w:rsidRPr="00302082" w:rsidRDefault="00E97530" w:rsidP="00E97530">
            <w:pPr>
              <w:spacing w:after="120"/>
              <w:rPr>
                <w:rFonts w:ascii="Arial" w:hAnsi="Arial" w:cs="Arial"/>
                <w:b/>
              </w:rPr>
            </w:pPr>
            <w:r w:rsidRPr="000179E3">
              <w:rPr>
                <w:rFonts w:ascii="Arial" w:hAnsi="Arial" w:cs="Arial"/>
                <w:b/>
              </w:rPr>
              <w:t>x</w:t>
            </w:r>
          </w:p>
        </w:tc>
        <w:tc>
          <w:tcPr>
            <w:tcW w:w="350" w:type="pct"/>
          </w:tcPr>
          <w:p w14:paraId="7BEE15CB" w14:textId="4F1DFC4D" w:rsidR="00E97530" w:rsidRPr="00302082" w:rsidRDefault="00E97530" w:rsidP="00E97530">
            <w:pPr>
              <w:spacing w:after="120"/>
              <w:rPr>
                <w:rFonts w:ascii="Arial" w:hAnsi="Arial" w:cs="Arial"/>
                <w:b/>
              </w:rPr>
            </w:pPr>
            <w:r w:rsidRPr="000179E3">
              <w:rPr>
                <w:rFonts w:ascii="Arial" w:hAnsi="Arial" w:cs="Arial"/>
                <w:b/>
              </w:rPr>
              <w:t>x</w:t>
            </w:r>
          </w:p>
        </w:tc>
        <w:tc>
          <w:tcPr>
            <w:tcW w:w="350" w:type="pct"/>
          </w:tcPr>
          <w:p w14:paraId="77C6FBB6" w14:textId="5556E6FF" w:rsidR="00E97530" w:rsidRPr="00302082" w:rsidRDefault="00E97530" w:rsidP="00E97530">
            <w:pPr>
              <w:spacing w:after="120"/>
              <w:rPr>
                <w:rFonts w:ascii="Arial" w:hAnsi="Arial" w:cs="Arial"/>
                <w:b/>
              </w:rPr>
            </w:pPr>
            <w:r w:rsidRPr="000179E3">
              <w:rPr>
                <w:rFonts w:ascii="Arial" w:hAnsi="Arial" w:cs="Arial"/>
                <w:b/>
              </w:rPr>
              <w:t>x</w:t>
            </w:r>
          </w:p>
        </w:tc>
        <w:tc>
          <w:tcPr>
            <w:tcW w:w="350" w:type="pct"/>
          </w:tcPr>
          <w:p w14:paraId="27B375C5" w14:textId="537946FA" w:rsidR="00E97530" w:rsidRPr="00302082" w:rsidRDefault="00E97530" w:rsidP="00E97530">
            <w:pPr>
              <w:spacing w:after="120"/>
              <w:rPr>
                <w:rFonts w:ascii="Arial" w:hAnsi="Arial" w:cs="Arial"/>
                <w:b/>
              </w:rPr>
            </w:pPr>
            <w:r w:rsidRPr="000179E3">
              <w:rPr>
                <w:rFonts w:ascii="Arial" w:hAnsi="Arial" w:cs="Arial"/>
                <w:b/>
              </w:rPr>
              <w:t>x</w:t>
            </w:r>
          </w:p>
        </w:tc>
        <w:tc>
          <w:tcPr>
            <w:tcW w:w="350" w:type="pct"/>
          </w:tcPr>
          <w:p w14:paraId="2AB9DBC3" w14:textId="3FFCD009" w:rsidR="00E97530" w:rsidRPr="00302082" w:rsidRDefault="00E97530" w:rsidP="00E97530">
            <w:pPr>
              <w:spacing w:after="120"/>
              <w:rPr>
                <w:rFonts w:ascii="Arial" w:hAnsi="Arial" w:cs="Arial"/>
                <w:b/>
              </w:rPr>
            </w:pPr>
            <w:r w:rsidRPr="000179E3">
              <w:rPr>
                <w:rFonts w:ascii="Arial" w:hAnsi="Arial" w:cs="Arial"/>
                <w:b/>
              </w:rPr>
              <w:t>x</w:t>
            </w:r>
          </w:p>
        </w:tc>
        <w:tc>
          <w:tcPr>
            <w:tcW w:w="350" w:type="pct"/>
          </w:tcPr>
          <w:p w14:paraId="37308F79" w14:textId="1FE6034F" w:rsidR="00E97530" w:rsidRPr="00302082" w:rsidRDefault="00E97530" w:rsidP="00E97530">
            <w:pPr>
              <w:spacing w:after="120"/>
              <w:rPr>
                <w:rFonts w:ascii="Arial" w:hAnsi="Arial" w:cs="Arial"/>
                <w:b/>
              </w:rPr>
            </w:pPr>
            <w:r w:rsidRPr="000179E3">
              <w:rPr>
                <w:rFonts w:ascii="Arial" w:hAnsi="Arial" w:cs="Arial"/>
                <w:b/>
              </w:rPr>
              <w:t>x</w:t>
            </w:r>
          </w:p>
        </w:tc>
        <w:tc>
          <w:tcPr>
            <w:tcW w:w="350" w:type="pct"/>
          </w:tcPr>
          <w:p w14:paraId="5CFCE14F" w14:textId="32CCF00D" w:rsidR="00E97530" w:rsidRPr="00302082" w:rsidRDefault="00E97530" w:rsidP="00E97530">
            <w:pPr>
              <w:spacing w:after="120"/>
              <w:rPr>
                <w:rFonts w:ascii="Arial" w:hAnsi="Arial" w:cs="Arial"/>
                <w:b/>
              </w:rPr>
            </w:pPr>
            <w:r w:rsidRPr="000179E3">
              <w:rPr>
                <w:rFonts w:ascii="Arial" w:hAnsi="Arial" w:cs="Arial"/>
                <w:b/>
              </w:rPr>
              <w:t>x</w:t>
            </w:r>
          </w:p>
        </w:tc>
        <w:tc>
          <w:tcPr>
            <w:tcW w:w="346" w:type="pct"/>
          </w:tcPr>
          <w:p w14:paraId="6C5C710F" w14:textId="6175B6E6" w:rsidR="00E97530" w:rsidRPr="00302082" w:rsidRDefault="00E97530" w:rsidP="00E97530">
            <w:pPr>
              <w:spacing w:after="120"/>
              <w:rPr>
                <w:rFonts w:ascii="Arial" w:hAnsi="Arial" w:cs="Arial"/>
                <w:b/>
              </w:rPr>
            </w:pPr>
            <w:r w:rsidRPr="000179E3">
              <w:rPr>
                <w:rFonts w:ascii="Arial" w:hAnsi="Arial" w:cs="Arial"/>
                <w:b/>
              </w:rPr>
              <w:t>x</w:t>
            </w:r>
          </w:p>
        </w:tc>
      </w:tr>
    </w:tbl>
    <w:p w14:paraId="599B8456" w14:textId="77777777" w:rsidR="007A6245" w:rsidRDefault="007A6245" w:rsidP="00302082">
      <w:pPr>
        <w:spacing w:after="120" w:line="240" w:lineRule="auto"/>
        <w:ind w:left="426" w:right="260"/>
        <w:rPr>
          <w:rFonts w:ascii="Arial" w:hAnsi="Arial" w:cs="Arial"/>
          <w:b/>
          <w:iCs/>
        </w:rPr>
      </w:pPr>
    </w:p>
    <w:p w14:paraId="3E30B98C" w14:textId="77777777" w:rsidR="00883204" w:rsidRPr="005A2813" w:rsidRDefault="00883204" w:rsidP="00696FF5">
      <w:pPr>
        <w:numPr>
          <w:ilvl w:val="0"/>
          <w:numId w:val="1"/>
        </w:numPr>
        <w:spacing w:after="120" w:line="240" w:lineRule="auto"/>
        <w:ind w:left="567" w:right="260" w:hanging="567"/>
        <w:jc w:val="both"/>
        <w:rPr>
          <w:rFonts w:ascii="Arial" w:hAnsi="Arial" w:cs="Arial"/>
          <w:iCs/>
        </w:rPr>
      </w:pPr>
      <w:r w:rsidRPr="005A2813">
        <w:rPr>
          <w:rFonts w:ascii="Arial" w:hAnsi="Arial" w:cs="Arial"/>
          <w:b/>
          <w:bCs/>
        </w:rPr>
        <w:t xml:space="preserve">Inclusive module design </w:t>
      </w:r>
    </w:p>
    <w:p w14:paraId="6E4B15AF" w14:textId="5C7547F6"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E97530">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18BD50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C77801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F792449"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571ADCE" w14:textId="77777777" w:rsidR="00883204" w:rsidRDefault="00883204" w:rsidP="00696FF5">
      <w:pPr>
        <w:spacing w:after="120" w:line="240" w:lineRule="auto"/>
        <w:ind w:left="567" w:right="260"/>
        <w:rPr>
          <w:rFonts w:ascii="Arial" w:hAnsi="Arial" w:cs="Arial"/>
          <w:i/>
          <w:iCs/>
        </w:rPr>
      </w:pPr>
    </w:p>
    <w:p w14:paraId="6DCE05F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3C77002" w14:textId="483F01AA" w:rsidR="009A2D37" w:rsidRPr="00154D48" w:rsidRDefault="004F1A4D" w:rsidP="00154D48">
      <w:pPr>
        <w:spacing w:after="120" w:line="240" w:lineRule="auto"/>
        <w:ind w:left="567" w:right="260"/>
        <w:rPr>
          <w:rFonts w:ascii="Arial" w:hAnsi="Arial" w:cs="Arial"/>
        </w:rPr>
      </w:pPr>
      <w:r>
        <w:rPr>
          <w:rFonts w:ascii="Arial" w:hAnsi="Arial" w:cs="Arial"/>
        </w:rPr>
        <w:t>Canterbury</w:t>
      </w:r>
    </w:p>
    <w:p w14:paraId="6520B4B2" w14:textId="77777777" w:rsidR="00154D48" w:rsidRPr="00154D48" w:rsidRDefault="00154D48" w:rsidP="00154D48">
      <w:pPr>
        <w:spacing w:after="120" w:line="240" w:lineRule="auto"/>
        <w:ind w:left="567" w:right="260"/>
        <w:rPr>
          <w:rFonts w:ascii="Arial" w:hAnsi="Arial" w:cs="Arial"/>
          <w:iCs/>
        </w:rPr>
      </w:pPr>
    </w:p>
    <w:p w14:paraId="32C104CE" w14:textId="77777777" w:rsidR="00883204" w:rsidRPr="005A2813" w:rsidRDefault="00883204" w:rsidP="00696FF5">
      <w:pPr>
        <w:numPr>
          <w:ilvl w:val="0"/>
          <w:numId w:val="1"/>
        </w:numPr>
        <w:spacing w:after="120" w:line="240" w:lineRule="auto"/>
        <w:ind w:left="567" w:right="261" w:hanging="568"/>
        <w:jc w:val="both"/>
        <w:rPr>
          <w:rFonts w:ascii="Arial" w:hAnsi="Arial" w:cs="Arial"/>
          <w:b/>
        </w:rPr>
      </w:pPr>
      <w:r w:rsidRPr="005A2813">
        <w:rPr>
          <w:rFonts w:ascii="Arial" w:hAnsi="Arial" w:cs="Arial"/>
          <w:b/>
        </w:rPr>
        <w:t xml:space="preserve">Internationalisation </w:t>
      </w:r>
    </w:p>
    <w:p w14:paraId="3EBE5656" w14:textId="793FBC6A" w:rsidR="00F12A14" w:rsidRPr="00850677" w:rsidRDefault="0064209F" w:rsidP="00850677">
      <w:pPr>
        <w:spacing w:after="120" w:line="240" w:lineRule="auto"/>
        <w:ind w:left="540" w:right="260"/>
        <w:rPr>
          <w:rFonts w:ascii="Arial" w:hAnsi="Arial" w:cs="Arial"/>
          <w:iCs/>
        </w:rPr>
      </w:pPr>
      <w:r>
        <w:rPr>
          <w:rFonts w:ascii="Arial" w:hAnsi="Arial" w:cs="Arial"/>
          <w:iCs/>
        </w:rPr>
        <w:t>The module covers a wide range of topics providing an overview of the world’s financial markets with an emphasis on quantitative aspects of options, futures, and other derivatives</w:t>
      </w:r>
      <w:r w:rsidR="00F12A14">
        <w:rPr>
          <w:rFonts w:ascii="Arial" w:hAnsi="Arial" w:cs="Arial"/>
          <w:iCs/>
        </w:rPr>
        <w:t xml:space="preserve">. </w:t>
      </w:r>
      <w:r w:rsidR="008D6C0F">
        <w:rPr>
          <w:rFonts w:ascii="Arial" w:hAnsi="Arial" w:cs="Arial"/>
          <w:iCs/>
        </w:rPr>
        <w:t xml:space="preserve">The </w:t>
      </w:r>
      <w:r w:rsidR="008D6C0F" w:rsidRPr="008E2369">
        <w:rPr>
          <w:rFonts w:ascii="Arial" w:hAnsi="Arial" w:cs="Arial"/>
        </w:rPr>
        <w:t>syllabus has been developed for use within an international educational setting for students who will apply financial theories in a wide range of international contexts.</w:t>
      </w:r>
      <w:r w:rsidR="008D6C0F">
        <w:rPr>
          <w:rFonts w:ascii="Arial" w:hAnsi="Arial" w:cs="Arial"/>
        </w:rPr>
        <w:t xml:space="preserve"> </w:t>
      </w:r>
    </w:p>
    <w:p w14:paraId="31E21B25" w14:textId="77777777" w:rsidR="00922E9E" w:rsidRPr="00154D48" w:rsidRDefault="00922E9E" w:rsidP="00154D48">
      <w:pPr>
        <w:spacing w:after="120" w:line="240" w:lineRule="auto"/>
        <w:ind w:left="567" w:right="260"/>
        <w:rPr>
          <w:rFonts w:ascii="Arial" w:hAnsi="Arial" w:cs="Arial"/>
          <w:iCs/>
        </w:rPr>
      </w:pPr>
    </w:p>
    <w:p w14:paraId="09481D7A" w14:textId="77777777" w:rsidR="00641D6D" w:rsidRPr="00302082" w:rsidRDefault="00641D6D" w:rsidP="00302082">
      <w:pPr>
        <w:pBdr>
          <w:bottom w:val="single" w:sz="6" w:space="1" w:color="auto"/>
        </w:pBdr>
        <w:spacing w:after="120" w:line="240" w:lineRule="auto"/>
        <w:ind w:right="260"/>
        <w:rPr>
          <w:rFonts w:ascii="Arial" w:hAnsi="Arial" w:cs="Arial"/>
        </w:rPr>
      </w:pPr>
    </w:p>
    <w:p w14:paraId="2E9F93A2" w14:textId="130D38CE" w:rsidR="00441E76" w:rsidRPr="00BA453C" w:rsidRDefault="00E97530"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AEF7E2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0C8536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127B74E6" w14:textId="77777777" w:rsidTr="00154D48">
        <w:trPr>
          <w:trHeight w:val="317"/>
        </w:trPr>
        <w:tc>
          <w:tcPr>
            <w:tcW w:w="1526" w:type="dxa"/>
          </w:tcPr>
          <w:p w14:paraId="70343BBB"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1EE4604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3A4F756A"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15583EA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75672EC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83539DA" w14:textId="77777777" w:rsidTr="00154D48">
        <w:trPr>
          <w:trHeight w:val="305"/>
        </w:trPr>
        <w:tc>
          <w:tcPr>
            <w:tcW w:w="1526" w:type="dxa"/>
          </w:tcPr>
          <w:p w14:paraId="254049F0" w14:textId="77777777" w:rsidR="00422B69" w:rsidRPr="00302082" w:rsidRDefault="00422B69" w:rsidP="00302082">
            <w:pPr>
              <w:spacing w:after="120"/>
              <w:ind w:right="-330"/>
              <w:rPr>
                <w:rFonts w:ascii="Arial" w:hAnsi="Arial" w:cs="Arial"/>
              </w:rPr>
            </w:pPr>
          </w:p>
        </w:tc>
        <w:tc>
          <w:tcPr>
            <w:tcW w:w="1701" w:type="dxa"/>
          </w:tcPr>
          <w:p w14:paraId="2E614060" w14:textId="77777777" w:rsidR="00422B69" w:rsidRPr="00302082" w:rsidRDefault="00422B69" w:rsidP="00302082">
            <w:pPr>
              <w:spacing w:after="120"/>
              <w:ind w:right="-330"/>
              <w:rPr>
                <w:rFonts w:ascii="Arial" w:hAnsi="Arial" w:cs="Arial"/>
              </w:rPr>
            </w:pPr>
          </w:p>
        </w:tc>
        <w:tc>
          <w:tcPr>
            <w:tcW w:w="1871" w:type="dxa"/>
          </w:tcPr>
          <w:p w14:paraId="63EF6197" w14:textId="77777777" w:rsidR="00422B69" w:rsidRPr="00302082" w:rsidRDefault="00422B69" w:rsidP="00302082">
            <w:pPr>
              <w:spacing w:after="120"/>
              <w:ind w:right="-330"/>
              <w:rPr>
                <w:rFonts w:ascii="Arial" w:hAnsi="Arial" w:cs="Arial"/>
              </w:rPr>
            </w:pPr>
          </w:p>
        </w:tc>
        <w:tc>
          <w:tcPr>
            <w:tcW w:w="2552" w:type="dxa"/>
          </w:tcPr>
          <w:p w14:paraId="717FB8F7" w14:textId="77777777" w:rsidR="00422B69" w:rsidRPr="00302082" w:rsidRDefault="00422B69" w:rsidP="00302082">
            <w:pPr>
              <w:spacing w:after="120"/>
              <w:ind w:right="-330"/>
              <w:rPr>
                <w:rFonts w:ascii="Arial" w:hAnsi="Arial" w:cs="Arial"/>
              </w:rPr>
            </w:pPr>
          </w:p>
        </w:tc>
        <w:tc>
          <w:tcPr>
            <w:tcW w:w="3032" w:type="dxa"/>
          </w:tcPr>
          <w:p w14:paraId="4BE7D723" w14:textId="77777777" w:rsidR="00422B69" w:rsidRPr="00302082" w:rsidRDefault="00422B69" w:rsidP="00302082">
            <w:pPr>
              <w:spacing w:after="120"/>
              <w:ind w:right="-330"/>
              <w:rPr>
                <w:rFonts w:ascii="Arial" w:hAnsi="Arial" w:cs="Arial"/>
              </w:rPr>
            </w:pPr>
          </w:p>
        </w:tc>
      </w:tr>
      <w:tr w:rsidR="00302082" w:rsidRPr="00302082" w14:paraId="167D7E17" w14:textId="77777777" w:rsidTr="00154D48">
        <w:trPr>
          <w:trHeight w:val="305"/>
        </w:trPr>
        <w:tc>
          <w:tcPr>
            <w:tcW w:w="1526" w:type="dxa"/>
          </w:tcPr>
          <w:p w14:paraId="4CF91565" w14:textId="77777777" w:rsidR="00422B69" w:rsidRPr="00302082" w:rsidRDefault="00422B69" w:rsidP="00302082">
            <w:pPr>
              <w:spacing w:after="120"/>
              <w:ind w:right="-330"/>
              <w:rPr>
                <w:rFonts w:ascii="Arial" w:hAnsi="Arial" w:cs="Arial"/>
              </w:rPr>
            </w:pPr>
          </w:p>
        </w:tc>
        <w:tc>
          <w:tcPr>
            <w:tcW w:w="1701" w:type="dxa"/>
          </w:tcPr>
          <w:p w14:paraId="0AB69C2F" w14:textId="77777777" w:rsidR="00422B69" w:rsidRPr="00302082" w:rsidRDefault="00422B69" w:rsidP="00302082">
            <w:pPr>
              <w:spacing w:after="120"/>
              <w:ind w:right="-330"/>
              <w:rPr>
                <w:rFonts w:ascii="Arial" w:hAnsi="Arial" w:cs="Arial"/>
              </w:rPr>
            </w:pPr>
          </w:p>
        </w:tc>
        <w:tc>
          <w:tcPr>
            <w:tcW w:w="1871" w:type="dxa"/>
          </w:tcPr>
          <w:p w14:paraId="1A927E69" w14:textId="77777777" w:rsidR="00422B69" w:rsidRPr="00302082" w:rsidRDefault="00422B69" w:rsidP="00302082">
            <w:pPr>
              <w:spacing w:after="120"/>
              <w:ind w:right="-330"/>
              <w:rPr>
                <w:rFonts w:ascii="Arial" w:hAnsi="Arial" w:cs="Arial"/>
              </w:rPr>
            </w:pPr>
          </w:p>
        </w:tc>
        <w:tc>
          <w:tcPr>
            <w:tcW w:w="2552" w:type="dxa"/>
          </w:tcPr>
          <w:p w14:paraId="010832A1" w14:textId="77777777" w:rsidR="00422B69" w:rsidRPr="00302082" w:rsidRDefault="00422B69" w:rsidP="00302082">
            <w:pPr>
              <w:spacing w:after="120"/>
              <w:ind w:right="-330"/>
              <w:rPr>
                <w:rFonts w:ascii="Arial" w:hAnsi="Arial" w:cs="Arial"/>
              </w:rPr>
            </w:pPr>
          </w:p>
        </w:tc>
        <w:tc>
          <w:tcPr>
            <w:tcW w:w="3032" w:type="dxa"/>
          </w:tcPr>
          <w:p w14:paraId="328AEB9C" w14:textId="77777777" w:rsidR="00422B69" w:rsidRPr="00302082" w:rsidRDefault="00422B69" w:rsidP="00302082">
            <w:pPr>
              <w:spacing w:after="120"/>
              <w:ind w:right="-330"/>
              <w:rPr>
                <w:rFonts w:ascii="Arial" w:hAnsi="Arial" w:cs="Arial"/>
              </w:rPr>
            </w:pPr>
          </w:p>
        </w:tc>
      </w:tr>
    </w:tbl>
    <w:p w14:paraId="675B0318"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7749E" w14:textId="77777777" w:rsidR="00B82FE4" w:rsidRDefault="00B82FE4" w:rsidP="009A2D37">
      <w:pPr>
        <w:spacing w:after="0" w:line="240" w:lineRule="auto"/>
      </w:pPr>
      <w:r>
        <w:separator/>
      </w:r>
    </w:p>
  </w:endnote>
  <w:endnote w:type="continuationSeparator" w:id="0">
    <w:p w14:paraId="6E9F425A" w14:textId="77777777" w:rsidR="00B82FE4" w:rsidRDefault="00B82FE4" w:rsidP="009A2D37">
      <w:pPr>
        <w:spacing w:after="0" w:line="240" w:lineRule="auto"/>
      </w:pPr>
      <w:r>
        <w:continuationSeparator/>
      </w:r>
    </w:p>
  </w:endnote>
  <w:endnote w:type="continuationNotice" w:id="1">
    <w:p w14:paraId="0DDBB43D" w14:textId="77777777" w:rsidR="00B82FE4" w:rsidRDefault="00B82F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B0EFF6E" w14:textId="7B3B6613" w:rsidR="008B2543" w:rsidRDefault="0019787E" w:rsidP="009A2D37">
        <w:pPr>
          <w:pStyle w:val="Footer"/>
          <w:jc w:val="center"/>
        </w:pPr>
        <w:r>
          <w:fldChar w:fldCharType="begin"/>
        </w:r>
        <w:r>
          <w:instrText xml:space="preserve"> PAGE   \* MERGEFORMAT </w:instrText>
        </w:r>
        <w:r>
          <w:fldChar w:fldCharType="separate"/>
        </w:r>
        <w:r w:rsidR="00973FD2">
          <w:rPr>
            <w:noProof/>
          </w:rPr>
          <w:t>4</w:t>
        </w:r>
        <w:r>
          <w:rPr>
            <w:noProof/>
          </w:rPr>
          <w:fldChar w:fldCharType="end"/>
        </w:r>
      </w:p>
    </w:sdtContent>
  </w:sdt>
  <w:p w14:paraId="1969F5CE" w14:textId="3933AFF9"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w:t>
    </w:r>
    <w:r w:rsidR="00E97530">
      <w:rPr>
        <w:rFonts w:ascii="Arial" w:hAnsi="Arial"/>
        <w:sz w:val="18"/>
      </w:rPr>
      <w:t>21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109313"/>
      <w:docPartObj>
        <w:docPartGallery w:val="Page Numbers (Bottom of Page)"/>
        <w:docPartUnique/>
      </w:docPartObj>
    </w:sdtPr>
    <w:sdtEndPr/>
    <w:sdtContent>
      <w:p w14:paraId="0F896289" w14:textId="27BD08AD" w:rsidR="00DB36AB" w:rsidRDefault="00DB36AB" w:rsidP="00DB36AB">
        <w:pPr>
          <w:pStyle w:val="Footer"/>
          <w:jc w:val="center"/>
        </w:pPr>
        <w:r>
          <w:fldChar w:fldCharType="begin"/>
        </w:r>
        <w:r>
          <w:instrText xml:space="preserve"> PAGE   \* MERGEFORMAT </w:instrText>
        </w:r>
        <w:r>
          <w:fldChar w:fldCharType="separate"/>
        </w:r>
        <w:r w:rsidR="00973FD2">
          <w:rPr>
            <w:noProof/>
          </w:rPr>
          <w:t>1</w:t>
        </w:r>
        <w:r>
          <w:rPr>
            <w:noProof/>
          </w:rPr>
          <w:fldChar w:fldCharType="end"/>
        </w:r>
      </w:p>
    </w:sdtContent>
  </w:sdt>
  <w:p w14:paraId="2495DE17" w14:textId="42B18BFB"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w:t>
    </w:r>
    <w:r w:rsidR="00E97530">
      <w:rPr>
        <w:rFonts w:ascii="Arial" w:hAnsi="Arial"/>
        <w:sz w:val="18"/>
      </w:rPr>
      <w:t>21</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330F5" w14:textId="77777777" w:rsidR="00B82FE4" w:rsidRDefault="00B82FE4" w:rsidP="009A2D37">
      <w:pPr>
        <w:spacing w:after="0" w:line="240" w:lineRule="auto"/>
      </w:pPr>
      <w:r>
        <w:separator/>
      </w:r>
    </w:p>
  </w:footnote>
  <w:footnote w:type="continuationSeparator" w:id="0">
    <w:p w14:paraId="4D6607FF" w14:textId="77777777" w:rsidR="00B82FE4" w:rsidRDefault="00B82FE4" w:rsidP="009A2D37">
      <w:pPr>
        <w:spacing w:after="0" w:line="240" w:lineRule="auto"/>
      </w:pPr>
      <w:r>
        <w:continuationSeparator/>
      </w:r>
    </w:p>
  </w:footnote>
  <w:footnote w:type="continuationNotice" w:id="1">
    <w:p w14:paraId="6412D4D1" w14:textId="77777777" w:rsidR="00B82FE4" w:rsidRDefault="00B82F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06BF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7CD95C2" wp14:editId="04F705A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D5AE1E3" w14:textId="77777777" w:rsidR="008B2543" w:rsidRPr="008C00F8" w:rsidRDefault="008B2543" w:rsidP="005E6D38">
    <w:pPr>
      <w:pStyle w:val="Heading1"/>
      <w:spacing w:before="60" w:after="60"/>
      <w:rPr>
        <w:rFonts w:ascii="Arial" w:hAnsi="Arial" w:cs="Arial"/>
      </w:rPr>
    </w:pPr>
  </w:p>
  <w:p w14:paraId="12987E4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B334" w14:textId="77777777" w:rsidR="000F7FBF" w:rsidRPr="0075408A" w:rsidRDefault="000F7FBF" w:rsidP="000F7FBF">
    <w:pPr>
      <w:jc w:val="center"/>
      <w:rPr>
        <w:rFonts w:ascii="Arial" w:hAnsi="Arial" w:cs="Arial"/>
        <w:b/>
        <w:sz w:val="28"/>
        <w:szCs w:val="28"/>
      </w:rPr>
    </w:pPr>
    <w:bookmarkStart w:id="0" w:name="_Hlk45994106"/>
    <w:r w:rsidRPr="0075408A">
      <w:rPr>
        <w:rFonts w:ascii="Arial" w:hAnsi="Arial" w:cs="Arial"/>
        <w:b/>
        <w:noProof/>
        <w:sz w:val="28"/>
        <w:szCs w:val="28"/>
      </w:rPr>
      <w:drawing>
        <wp:anchor distT="0" distB="0" distL="114300" distR="114300" simplePos="0" relativeHeight="251657728" behindDoc="1" locked="0" layoutInCell="1" allowOverlap="1" wp14:anchorId="13A17B4B" wp14:editId="35039DA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bookmarkEnd w:id="0"/>
  <w:p w14:paraId="48A9B77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A7D1F"/>
    <w:multiLevelType w:val="hybridMultilevel"/>
    <w:tmpl w:val="D5907E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BC4466"/>
    <w:multiLevelType w:val="hybridMultilevel"/>
    <w:tmpl w:val="57E20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FCC5E3F"/>
    <w:multiLevelType w:val="hybridMultilevel"/>
    <w:tmpl w:val="B0AAF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B0C47FE"/>
    <w:multiLevelType w:val="hybridMultilevel"/>
    <w:tmpl w:val="0F429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34102433">
    <w:abstractNumId w:val="3"/>
  </w:num>
  <w:num w:numId="2" w16cid:durableId="820854628">
    <w:abstractNumId w:val="0"/>
  </w:num>
  <w:num w:numId="3" w16cid:durableId="1272980628">
    <w:abstractNumId w:val="5"/>
  </w:num>
  <w:num w:numId="4" w16cid:durableId="1914853183">
    <w:abstractNumId w:val="2"/>
  </w:num>
  <w:num w:numId="5" w16cid:durableId="1829707638">
    <w:abstractNumId w:val="11"/>
  </w:num>
  <w:num w:numId="6" w16cid:durableId="783696069">
    <w:abstractNumId w:val="9"/>
  </w:num>
  <w:num w:numId="7" w16cid:durableId="1658530861">
    <w:abstractNumId w:val="12"/>
  </w:num>
  <w:num w:numId="8" w16cid:durableId="2124835196">
    <w:abstractNumId w:val="10"/>
  </w:num>
  <w:num w:numId="9" w16cid:durableId="539368549">
    <w:abstractNumId w:val="7"/>
  </w:num>
  <w:num w:numId="10" w16cid:durableId="463891864">
    <w:abstractNumId w:val="8"/>
  </w:num>
  <w:num w:numId="11" w16cid:durableId="1099134700">
    <w:abstractNumId w:val="4"/>
  </w:num>
  <w:num w:numId="12" w16cid:durableId="1503544297">
    <w:abstractNumId w:val="1"/>
  </w:num>
  <w:num w:numId="13" w16cid:durableId="5760130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0E5E"/>
    <w:rsid w:val="0001243F"/>
    <w:rsid w:val="00014EF8"/>
    <w:rsid w:val="00021EA0"/>
    <w:rsid w:val="00025992"/>
    <w:rsid w:val="00025A13"/>
    <w:rsid w:val="00027937"/>
    <w:rsid w:val="00030C9E"/>
    <w:rsid w:val="00031E67"/>
    <w:rsid w:val="000408CC"/>
    <w:rsid w:val="00045373"/>
    <w:rsid w:val="00063A2F"/>
    <w:rsid w:val="000678D3"/>
    <w:rsid w:val="00094810"/>
    <w:rsid w:val="00096DA4"/>
    <w:rsid w:val="000A7670"/>
    <w:rsid w:val="000C0294"/>
    <w:rsid w:val="000C3A7E"/>
    <w:rsid w:val="000C5C74"/>
    <w:rsid w:val="000C7A1C"/>
    <w:rsid w:val="000D14D0"/>
    <w:rsid w:val="000D2A8A"/>
    <w:rsid w:val="000D32AC"/>
    <w:rsid w:val="000D654B"/>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106"/>
    <w:rsid w:val="00185F46"/>
    <w:rsid w:val="00196C6A"/>
    <w:rsid w:val="0019787E"/>
    <w:rsid w:val="001A425B"/>
    <w:rsid w:val="001A7762"/>
    <w:rsid w:val="001B1B28"/>
    <w:rsid w:val="001B27FB"/>
    <w:rsid w:val="001C1787"/>
    <w:rsid w:val="001C4A85"/>
    <w:rsid w:val="001C5443"/>
    <w:rsid w:val="001D0328"/>
    <w:rsid w:val="001D0C7D"/>
    <w:rsid w:val="001D1F2D"/>
    <w:rsid w:val="001D2314"/>
    <w:rsid w:val="001D6398"/>
    <w:rsid w:val="001E1F45"/>
    <w:rsid w:val="001E62C1"/>
    <w:rsid w:val="001F0779"/>
    <w:rsid w:val="001F3C3E"/>
    <w:rsid w:val="00201C5F"/>
    <w:rsid w:val="0020243A"/>
    <w:rsid w:val="00203C74"/>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7755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4C94"/>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0AFF"/>
    <w:rsid w:val="00422B69"/>
    <w:rsid w:val="00423D86"/>
    <w:rsid w:val="00424C90"/>
    <w:rsid w:val="00427DA5"/>
    <w:rsid w:val="00436BE9"/>
    <w:rsid w:val="00441E76"/>
    <w:rsid w:val="004443DA"/>
    <w:rsid w:val="00446A75"/>
    <w:rsid w:val="004474A2"/>
    <w:rsid w:val="00460925"/>
    <w:rsid w:val="004679E5"/>
    <w:rsid w:val="00471C6C"/>
    <w:rsid w:val="00472023"/>
    <w:rsid w:val="00486993"/>
    <w:rsid w:val="00492DA4"/>
    <w:rsid w:val="00496AA3"/>
    <w:rsid w:val="00497C98"/>
    <w:rsid w:val="004A39D7"/>
    <w:rsid w:val="004A55FA"/>
    <w:rsid w:val="004B5D03"/>
    <w:rsid w:val="004C1EC4"/>
    <w:rsid w:val="004C5F53"/>
    <w:rsid w:val="004D035C"/>
    <w:rsid w:val="004F1A4D"/>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170B"/>
    <w:rsid w:val="005759F4"/>
    <w:rsid w:val="005779D1"/>
    <w:rsid w:val="0058041A"/>
    <w:rsid w:val="00584AEC"/>
    <w:rsid w:val="0058743D"/>
    <w:rsid w:val="00587BF7"/>
    <w:rsid w:val="00592034"/>
    <w:rsid w:val="0059477B"/>
    <w:rsid w:val="00596884"/>
    <w:rsid w:val="005A14B5"/>
    <w:rsid w:val="005A1F6E"/>
    <w:rsid w:val="005A2813"/>
    <w:rsid w:val="005A29C2"/>
    <w:rsid w:val="005A62E1"/>
    <w:rsid w:val="005B5A98"/>
    <w:rsid w:val="005C1A4F"/>
    <w:rsid w:val="005C27D7"/>
    <w:rsid w:val="005D7CD0"/>
    <w:rsid w:val="005E1A3A"/>
    <w:rsid w:val="005E634A"/>
    <w:rsid w:val="005E6ADC"/>
    <w:rsid w:val="005E6D10"/>
    <w:rsid w:val="005E6D38"/>
    <w:rsid w:val="005E7B3F"/>
    <w:rsid w:val="005F040F"/>
    <w:rsid w:val="005F2C42"/>
    <w:rsid w:val="006043FC"/>
    <w:rsid w:val="006050CF"/>
    <w:rsid w:val="0062219E"/>
    <w:rsid w:val="006253AA"/>
    <w:rsid w:val="00626023"/>
    <w:rsid w:val="00627A1F"/>
    <w:rsid w:val="00633150"/>
    <w:rsid w:val="00637A50"/>
    <w:rsid w:val="00641D6D"/>
    <w:rsid w:val="0064209F"/>
    <w:rsid w:val="0064364E"/>
    <w:rsid w:val="006438F3"/>
    <w:rsid w:val="00647907"/>
    <w:rsid w:val="00651A82"/>
    <w:rsid w:val="006525E9"/>
    <w:rsid w:val="006577DA"/>
    <w:rsid w:val="0066747B"/>
    <w:rsid w:val="006725EC"/>
    <w:rsid w:val="00674ED0"/>
    <w:rsid w:val="006770E2"/>
    <w:rsid w:val="00682650"/>
    <w:rsid w:val="00683609"/>
    <w:rsid w:val="00684851"/>
    <w:rsid w:val="00694309"/>
    <w:rsid w:val="00695285"/>
    <w:rsid w:val="00696FF5"/>
    <w:rsid w:val="006A6BB4"/>
    <w:rsid w:val="006A7FB0"/>
    <w:rsid w:val="006C2A9A"/>
    <w:rsid w:val="006C423D"/>
    <w:rsid w:val="006C46EF"/>
    <w:rsid w:val="006C4C67"/>
    <w:rsid w:val="006C6FD5"/>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7F7F"/>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0677"/>
    <w:rsid w:val="00854435"/>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6CBE"/>
    <w:rsid w:val="008D6C0F"/>
    <w:rsid w:val="008D7401"/>
    <w:rsid w:val="008E7BEA"/>
    <w:rsid w:val="00903DF6"/>
    <w:rsid w:val="00921CF6"/>
    <w:rsid w:val="00922E9E"/>
    <w:rsid w:val="00924EF0"/>
    <w:rsid w:val="0093162E"/>
    <w:rsid w:val="00934D7B"/>
    <w:rsid w:val="00947180"/>
    <w:rsid w:val="009567BE"/>
    <w:rsid w:val="0095735E"/>
    <w:rsid w:val="009676FA"/>
    <w:rsid w:val="009679E0"/>
    <w:rsid w:val="00973FD2"/>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0FF7"/>
    <w:rsid w:val="00A3007E"/>
    <w:rsid w:val="00A32048"/>
    <w:rsid w:val="00A41F06"/>
    <w:rsid w:val="00A45375"/>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2FC"/>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82FE4"/>
    <w:rsid w:val="00B9109B"/>
    <w:rsid w:val="00B927AE"/>
    <w:rsid w:val="00B93721"/>
    <w:rsid w:val="00B937B1"/>
    <w:rsid w:val="00BA453C"/>
    <w:rsid w:val="00BA4E02"/>
    <w:rsid w:val="00BB2045"/>
    <w:rsid w:val="00BB2A6D"/>
    <w:rsid w:val="00BB4189"/>
    <w:rsid w:val="00BC19F7"/>
    <w:rsid w:val="00BC41ED"/>
    <w:rsid w:val="00BC502B"/>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B1E"/>
    <w:rsid w:val="00C612A8"/>
    <w:rsid w:val="00C618D2"/>
    <w:rsid w:val="00C67631"/>
    <w:rsid w:val="00C709C6"/>
    <w:rsid w:val="00C729D7"/>
    <w:rsid w:val="00C8213C"/>
    <w:rsid w:val="00C83354"/>
    <w:rsid w:val="00C84004"/>
    <w:rsid w:val="00C843F6"/>
    <w:rsid w:val="00C84507"/>
    <w:rsid w:val="00C862C7"/>
    <w:rsid w:val="00C86FB8"/>
    <w:rsid w:val="00CA3254"/>
    <w:rsid w:val="00CB11CE"/>
    <w:rsid w:val="00CC25A2"/>
    <w:rsid w:val="00CC5F2A"/>
    <w:rsid w:val="00CD7F07"/>
    <w:rsid w:val="00CE04F3"/>
    <w:rsid w:val="00CE12D8"/>
    <w:rsid w:val="00CE4574"/>
    <w:rsid w:val="00CE70E6"/>
    <w:rsid w:val="00CF0BCA"/>
    <w:rsid w:val="00CF2E1E"/>
    <w:rsid w:val="00CF3309"/>
    <w:rsid w:val="00CF7691"/>
    <w:rsid w:val="00D02E99"/>
    <w:rsid w:val="00D06AC3"/>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14FA4"/>
    <w:rsid w:val="00E22F03"/>
    <w:rsid w:val="00E233C1"/>
    <w:rsid w:val="00E51404"/>
    <w:rsid w:val="00E574C9"/>
    <w:rsid w:val="00E6036F"/>
    <w:rsid w:val="00E610DE"/>
    <w:rsid w:val="00E66167"/>
    <w:rsid w:val="00E70DDD"/>
    <w:rsid w:val="00E71F2F"/>
    <w:rsid w:val="00E77786"/>
    <w:rsid w:val="00E806FB"/>
    <w:rsid w:val="00E9115C"/>
    <w:rsid w:val="00E97530"/>
    <w:rsid w:val="00EB1C2D"/>
    <w:rsid w:val="00EC1810"/>
    <w:rsid w:val="00EC23FE"/>
    <w:rsid w:val="00EC3FCC"/>
    <w:rsid w:val="00ED32FF"/>
    <w:rsid w:val="00EF039B"/>
    <w:rsid w:val="00EF0BCE"/>
    <w:rsid w:val="00EF4933"/>
    <w:rsid w:val="00EF5044"/>
    <w:rsid w:val="00F01956"/>
    <w:rsid w:val="00F116CE"/>
    <w:rsid w:val="00F12A14"/>
    <w:rsid w:val="00F16F93"/>
    <w:rsid w:val="00F176DE"/>
    <w:rsid w:val="00F21C47"/>
    <w:rsid w:val="00F244E2"/>
    <w:rsid w:val="00F317D7"/>
    <w:rsid w:val="00F340DE"/>
    <w:rsid w:val="00F43542"/>
    <w:rsid w:val="00F44BAB"/>
    <w:rsid w:val="00F454E2"/>
    <w:rsid w:val="00F527CB"/>
    <w:rsid w:val="00F562AA"/>
    <w:rsid w:val="00F66975"/>
    <w:rsid w:val="00F7050D"/>
    <w:rsid w:val="00F7105A"/>
    <w:rsid w:val="00F7710E"/>
    <w:rsid w:val="00F77676"/>
    <w:rsid w:val="00F8197C"/>
    <w:rsid w:val="00F82B4E"/>
    <w:rsid w:val="00F87559"/>
    <w:rsid w:val="00F96D71"/>
    <w:rsid w:val="00F97C9E"/>
    <w:rsid w:val="00FA20DE"/>
    <w:rsid w:val="00FA4EE8"/>
    <w:rsid w:val="00FA62C7"/>
    <w:rsid w:val="00FB12CA"/>
    <w:rsid w:val="00FB2E32"/>
    <w:rsid w:val="00FB36EC"/>
    <w:rsid w:val="00FB4E1B"/>
    <w:rsid w:val="00FC0291"/>
    <w:rsid w:val="00FC1C92"/>
    <w:rsid w:val="00FC6B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EBF53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E9753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2Char">
    <w:name w:val="Heading 2 Char"/>
    <w:basedOn w:val="DefaultParagraphFont"/>
    <w:link w:val="Heading2"/>
    <w:uiPriority w:val="9"/>
    <w:semiHidden/>
    <w:rsid w:val="00E97530"/>
    <w:rPr>
      <w:rFonts w:asciiTheme="majorHAnsi" w:eastAsiaTheme="majorEastAsia" w:hAnsiTheme="majorHAnsi" w:cstheme="majorBidi"/>
      <w:color w:val="365F91" w:themeColor="accent1" w:themeShade="BF"/>
      <w:sz w:val="26"/>
      <w:szCs w:val="26"/>
      <w:lang w:eastAsia="en-GB"/>
    </w:rPr>
  </w:style>
  <w:style w:type="character" w:styleId="UnresolvedMention">
    <w:name w:val="Unresolved Mention"/>
    <w:basedOn w:val="DefaultParagraphFont"/>
    <w:uiPriority w:val="99"/>
    <w:semiHidden/>
    <w:unhideWhenUsed/>
    <w:rsid w:val="00E97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588343-7626-49C8-A760-C59FDDE4F2DA}">
  <ds:schemaRefs>
    <ds:schemaRef ds:uri="http://schemas.openxmlformats.org/officeDocument/2006/bibliography"/>
  </ds:schemaRefs>
</ds:datastoreItem>
</file>

<file path=customXml/itemProps2.xml><?xml version="1.0" encoding="utf-8"?>
<ds:datastoreItem xmlns:ds="http://schemas.openxmlformats.org/officeDocument/2006/customXml" ds:itemID="{66BD0774-0A19-41F7-B31E-D33A9782D2E7}"/>
</file>

<file path=customXml/itemProps3.xml><?xml version="1.0" encoding="utf-8"?>
<ds:datastoreItem xmlns:ds="http://schemas.openxmlformats.org/officeDocument/2006/customXml" ds:itemID="{D6ACB235-09D1-40F3-A84C-C992AD41D8C2}"/>
</file>

<file path=customXml/itemProps4.xml><?xml version="1.0" encoding="utf-8"?>
<ds:datastoreItem xmlns:ds="http://schemas.openxmlformats.org/officeDocument/2006/customXml" ds:itemID="{0FF2CB93-E06C-47FA-A8D5-39B60F4A14FB}"/>
</file>

<file path=docProps/app.xml><?xml version="1.0" encoding="utf-8"?>
<Properties xmlns="http://schemas.openxmlformats.org/officeDocument/2006/extended-properties" xmlns:vt="http://schemas.openxmlformats.org/officeDocument/2006/docPropsVTypes">
  <Template>Normal</Template>
  <TotalTime>0</TotalTime>
  <Pages>4</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Lyndsay Whiting</cp:lastModifiedBy>
  <cp:revision>4</cp:revision>
  <cp:lastPrinted>2015-09-09T08:37:00Z</cp:lastPrinted>
  <dcterms:created xsi:type="dcterms:W3CDTF">2020-12-10T14:46:00Z</dcterms:created>
  <dcterms:modified xsi:type="dcterms:W3CDTF">2023-01-18T10:44:00Z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