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33D3237E" w:rsidR="009A2D37" w:rsidRPr="00694B52" w:rsidRDefault="00386AE6" w:rsidP="00386AE6">
      <w:pPr>
        <w:spacing w:after="120" w:line="240" w:lineRule="auto"/>
        <w:ind w:left="567" w:right="543"/>
        <w:jc w:val="both"/>
        <w:rPr>
          <w:rFonts w:ascii="Arial" w:hAnsi="Arial" w:cs="Arial"/>
          <w:sz w:val="24"/>
          <w:szCs w:val="24"/>
        </w:rPr>
      </w:pPr>
      <w:r w:rsidRPr="00386AE6">
        <w:rPr>
          <w:rFonts w:ascii="Arial" w:hAnsi="Arial" w:cs="Arial"/>
          <w:sz w:val="24"/>
          <w:szCs w:val="24"/>
        </w:rPr>
        <w:t>BUS</w:t>
      </w:r>
      <w:r w:rsidR="00A65190">
        <w:rPr>
          <w:rFonts w:ascii="Arial" w:hAnsi="Arial" w:cs="Arial"/>
          <w:sz w:val="24"/>
          <w:szCs w:val="24"/>
        </w:rPr>
        <w:t>J</w:t>
      </w:r>
      <w:r w:rsidRPr="00386AE6">
        <w:rPr>
          <w:rFonts w:ascii="Arial" w:hAnsi="Arial" w:cs="Arial"/>
          <w:sz w:val="24"/>
          <w:szCs w:val="24"/>
        </w:rPr>
        <w:t>9340</w:t>
      </w:r>
      <w:r>
        <w:rPr>
          <w:rFonts w:ascii="Arial" w:hAnsi="Arial" w:cs="Arial"/>
          <w:sz w:val="24"/>
          <w:szCs w:val="24"/>
        </w:rPr>
        <w:t xml:space="preserve"> </w:t>
      </w:r>
      <w:r w:rsidRPr="00386AE6">
        <w:rPr>
          <w:rFonts w:ascii="Arial" w:hAnsi="Arial" w:cs="Arial"/>
          <w:sz w:val="24"/>
          <w:szCs w:val="24"/>
        </w:rPr>
        <w:t>Global Strategy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A93E654"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6AF32B0" w:rsidR="009A2D37" w:rsidRDefault="00415918" w:rsidP="00415918">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F149A23" w:rsidR="009A2D37" w:rsidRDefault="00386AE6" w:rsidP="00386AE6">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3100C0E" w:rsidR="009A2D37" w:rsidRDefault="00415918" w:rsidP="00415918">
      <w:pPr>
        <w:spacing w:after="120" w:line="240" w:lineRule="auto"/>
        <w:ind w:left="567" w:right="543"/>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96E98C5" w:rsidR="009A2D37" w:rsidRDefault="00A65190" w:rsidP="00386AE6">
      <w:pPr>
        <w:spacing w:after="120" w:line="240" w:lineRule="auto"/>
        <w:ind w:left="567" w:right="543"/>
        <w:rPr>
          <w:rFonts w:ascii="Arial" w:hAnsi="Arial" w:cs="Arial"/>
          <w:iCs/>
          <w:sz w:val="24"/>
          <w:szCs w:val="24"/>
        </w:rPr>
      </w:pPr>
      <w:r>
        <w:rPr>
          <w:rFonts w:ascii="Arial" w:hAnsi="Arial" w:cs="Arial"/>
          <w:iCs/>
          <w:sz w:val="24"/>
          <w:szCs w:val="24"/>
        </w:rPr>
        <w:t>Summer</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5CA9D4B" w:rsidR="00687284" w:rsidRPr="00386AE6" w:rsidRDefault="00386AE6"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7338E0C"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MSc International Business and Management; MSc Finance (Finance and Management); MEng courses</w:t>
      </w:r>
    </w:p>
    <w:p w14:paraId="28CC1478" w14:textId="5E8A2BCB"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CBBF939"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8.1 Critically compare and contrast the main conceptual strategy frameworks.</w:t>
      </w:r>
    </w:p>
    <w:p w14:paraId="2254C71E"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8.2 Apply these frameworks appropriately to complex global strategy formulation, implementation and evaluation.</w:t>
      </w:r>
    </w:p>
    <w:p w14:paraId="29678159"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8.3 Demonstrate a comprehensive understanding of the complexity of global strategy value creation formation.</w:t>
      </w:r>
    </w:p>
    <w:p w14:paraId="22B8C501" w14:textId="02D9F6B2" w:rsidR="00273CF0"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8.4 Demonstrate ta systematic understanding of contemporary issues in global strategic management.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162C282"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9.1 Demonstrate and evidence effective negotiation skills</w:t>
      </w:r>
    </w:p>
    <w:p w14:paraId="14CCA2C9"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9.2 Communicate effectively to a variety of audiences and/or using a variety of methods</w:t>
      </w:r>
    </w:p>
    <w:p w14:paraId="098DBD48"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9.3 Address complex problems in a structured and logical way.</w:t>
      </w:r>
    </w:p>
    <w:p w14:paraId="31D8601B" w14:textId="1DA338D8" w:rsidR="00273CF0"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9.4 Demonstrate critical thinking around the subject area of global strategic management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39BF242"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The Global Strategy module has two main learning components:</w:t>
      </w:r>
    </w:p>
    <w:p w14:paraId="40A9B3F4" w14:textId="77777777" w:rsidR="00386AE6" w:rsidRPr="00386AE6" w:rsidRDefault="00386AE6" w:rsidP="00386AE6">
      <w:pPr>
        <w:spacing w:after="120" w:line="240" w:lineRule="auto"/>
        <w:ind w:left="567" w:right="543"/>
        <w:rPr>
          <w:rFonts w:ascii="Arial" w:hAnsi="Arial" w:cs="Arial"/>
          <w:iCs/>
          <w:sz w:val="24"/>
          <w:szCs w:val="24"/>
        </w:rPr>
      </w:pPr>
    </w:p>
    <w:p w14:paraId="496979B9" w14:textId="77777777" w:rsidR="00386AE6" w:rsidRPr="00386AE6" w:rsidRDefault="00386AE6" w:rsidP="00386AE6">
      <w:pPr>
        <w:numPr>
          <w:ilvl w:val="0"/>
          <w:numId w:val="12"/>
        </w:numPr>
        <w:spacing w:after="120" w:line="240" w:lineRule="auto"/>
        <w:ind w:right="543"/>
        <w:rPr>
          <w:rFonts w:ascii="Arial" w:hAnsi="Arial" w:cs="Arial"/>
          <w:iCs/>
          <w:sz w:val="24"/>
          <w:szCs w:val="24"/>
        </w:rPr>
      </w:pPr>
      <w:r w:rsidRPr="00386AE6">
        <w:rPr>
          <w:rFonts w:ascii="Arial" w:hAnsi="Arial" w:cs="Arial"/>
          <w:iCs/>
          <w:sz w:val="24"/>
          <w:szCs w:val="24"/>
        </w:rPr>
        <w:t>Acquiring theory and concepts in global strategy and value creation in today’s dynamic environment.</w:t>
      </w:r>
    </w:p>
    <w:p w14:paraId="6E6F7F21" w14:textId="77777777" w:rsidR="00386AE6" w:rsidRPr="00386AE6" w:rsidRDefault="00386AE6" w:rsidP="00386AE6">
      <w:pPr>
        <w:numPr>
          <w:ilvl w:val="0"/>
          <w:numId w:val="12"/>
        </w:numPr>
        <w:spacing w:after="120" w:line="240" w:lineRule="auto"/>
        <w:ind w:right="543"/>
        <w:rPr>
          <w:rFonts w:ascii="Arial" w:hAnsi="Arial" w:cs="Arial"/>
          <w:iCs/>
          <w:sz w:val="24"/>
          <w:szCs w:val="24"/>
        </w:rPr>
      </w:pPr>
      <w:r w:rsidRPr="00386AE6">
        <w:rPr>
          <w:rFonts w:ascii="Arial" w:hAnsi="Arial" w:cs="Arial"/>
          <w:iCs/>
          <w:sz w:val="24"/>
          <w:szCs w:val="24"/>
        </w:rPr>
        <w:t>Application of theory and concepts to the formulation, implementation and evaluation of global strategy.</w:t>
      </w:r>
    </w:p>
    <w:p w14:paraId="466CF56C" w14:textId="77777777" w:rsidR="00386AE6" w:rsidRPr="00386AE6" w:rsidRDefault="00386AE6" w:rsidP="00386AE6">
      <w:pPr>
        <w:spacing w:after="120" w:line="240" w:lineRule="auto"/>
        <w:ind w:left="567" w:right="543"/>
        <w:rPr>
          <w:rFonts w:ascii="Arial" w:hAnsi="Arial" w:cs="Arial"/>
          <w:iCs/>
          <w:sz w:val="24"/>
          <w:szCs w:val="24"/>
        </w:rPr>
      </w:pPr>
    </w:p>
    <w:p w14:paraId="5D100161"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The aim is to critically examine and provide insights into the practice and process of strategic management within a variety of private and public sector organisations globally.</w:t>
      </w:r>
    </w:p>
    <w:p w14:paraId="4A11DB93" w14:textId="77777777" w:rsidR="00386AE6" w:rsidRPr="00386AE6" w:rsidRDefault="00386AE6" w:rsidP="00386AE6">
      <w:pPr>
        <w:spacing w:after="120" w:line="240" w:lineRule="auto"/>
        <w:ind w:left="567" w:right="543"/>
        <w:rPr>
          <w:rFonts w:ascii="Arial" w:hAnsi="Arial" w:cs="Arial"/>
          <w:iCs/>
          <w:sz w:val="24"/>
          <w:szCs w:val="24"/>
        </w:rPr>
      </w:pPr>
    </w:p>
    <w:p w14:paraId="2A21817A"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 xml:space="preserve">This course is designed to allow students to develop their skills of strategic analysis and their ability to think about the selection and implementation of appropriate strategies in different industry and geographic contexts and in different types and styles of organisations, including non-profit and public sector organisations. </w:t>
      </w:r>
    </w:p>
    <w:p w14:paraId="6270EE73" w14:textId="77777777" w:rsidR="00386AE6" w:rsidRPr="00386AE6" w:rsidRDefault="00386AE6" w:rsidP="00386AE6">
      <w:pPr>
        <w:spacing w:after="120" w:line="240" w:lineRule="auto"/>
        <w:ind w:left="567" w:right="543"/>
        <w:rPr>
          <w:rFonts w:ascii="Arial" w:hAnsi="Arial" w:cs="Arial"/>
          <w:iCs/>
          <w:sz w:val="24"/>
          <w:szCs w:val="24"/>
        </w:rPr>
      </w:pPr>
    </w:p>
    <w:p w14:paraId="21789669"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Indicative topics may include:</w:t>
      </w:r>
    </w:p>
    <w:p w14:paraId="2A2EEB73" w14:textId="77777777" w:rsidR="00386AE6" w:rsidRPr="00386AE6" w:rsidRDefault="00386AE6" w:rsidP="00386AE6">
      <w:pPr>
        <w:spacing w:after="120" w:line="240" w:lineRule="auto"/>
        <w:ind w:left="567" w:right="543"/>
        <w:rPr>
          <w:rFonts w:ascii="Arial" w:hAnsi="Arial" w:cs="Arial"/>
          <w:iCs/>
          <w:sz w:val="24"/>
          <w:szCs w:val="24"/>
        </w:rPr>
      </w:pPr>
    </w:p>
    <w:p w14:paraId="650B622F"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What is Strategy, and Why is it Important?</w:t>
      </w:r>
    </w:p>
    <w:p w14:paraId="00C282E3"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The Context of Global Strategy and Value Realisation</w:t>
      </w:r>
    </w:p>
    <w:p w14:paraId="412401D3"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Competitive Global Strategy and Strategic Choices</w:t>
      </w:r>
    </w:p>
    <w:p w14:paraId="1D66E0CF"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 xml:space="preserve">Business models </w:t>
      </w:r>
    </w:p>
    <w:p w14:paraId="0ECB2C62"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Digital Strategy</w:t>
      </w:r>
    </w:p>
    <w:p w14:paraId="23727482"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Contemporary Issues in Strategic Management</w:t>
      </w:r>
    </w:p>
    <w:p w14:paraId="7040E90A" w14:textId="77777777" w:rsidR="008D4447" w:rsidRPr="008D4447" w:rsidRDefault="008D4447" w:rsidP="00AF52E0">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CAB4E43"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F52E0">
        <w:rPr>
          <w:rFonts w:ascii="Arial" w:hAnsi="Arial" w:cs="Arial"/>
          <w:sz w:val="24"/>
          <w:szCs w:val="24"/>
        </w:rPr>
        <w:t xml:space="preserve"> 126</w:t>
      </w:r>
    </w:p>
    <w:p w14:paraId="3BE5E6D9" w14:textId="0BF9E11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F52E0">
        <w:rPr>
          <w:rFonts w:ascii="Arial" w:hAnsi="Arial" w:cs="Arial"/>
          <w:sz w:val="24"/>
          <w:szCs w:val="24"/>
        </w:rPr>
        <w:t xml:space="preserve"> 24</w:t>
      </w:r>
    </w:p>
    <w:p w14:paraId="260000FF" w14:textId="3653E52C"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F52E0">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ED028FE" w14:textId="77777777" w:rsidR="00AF52E0" w:rsidRPr="00AF52E0" w:rsidRDefault="00AF52E0" w:rsidP="00AF52E0">
      <w:pPr>
        <w:spacing w:after="120" w:line="240" w:lineRule="auto"/>
        <w:ind w:left="720" w:right="543"/>
        <w:rPr>
          <w:rFonts w:ascii="Arial" w:hAnsi="Arial" w:cs="Arial"/>
          <w:iCs/>
          <w:sz w:val="24"/>
          <w:szCs w:val="24"/>
        </w:rPr>
      </w:pPr>
      <w:r w:rsidRPr="00AF52E0">
        <w:rPr>
          <w:rFonts w:ascii="Arial" w:hAnsi="Arial" w:cs="Arial"/>
          <w:iCs/>
          <w:sz w:val="24"/>
          <w:szCs w:val="24"/>
        </w:rPr>
        <w:t>VLE Test (20%)</w:t>
      </w:r>
    </w:p>
    <w:p w14:paraId="52C178B5" w14:textId="77777777" w:rsidR="00AF52E0" w:rsidRPr="00AF52E0" w:rsidRDefault="00AF52E0" w:rsidP="00AF52E0">
      <w:pPr>
        <w:spacing w:after="120" w:line="240" w:lineRule="auto"/>
        <w:ind w:left="720" w:right="543"/>
        <w:rPr>
          <w:rFonts w:ascii="Arial" w:hAnsi="Arial" w:cs="Arial"/>
          <w:iCs/>
          <w:sz w:val="24"/>
          <w:szCs w:val="24"/>
        </w:rPr>
      </w:pPr>
      <w:r w:rsidRPr="00AF52E0">
        <w:rPr>
          <w:rFonts w:ascii="Arial" w:hAnsi="Arial" w:cs="Arial"/>
          <w:iCs/>
          <w:sz w:val="24"/>
          <w:szCs w:val="24"/>
        </w:rPr>
        <w:t>Group Case Analysis (2000 words) (20%)</w:t>
      </w:r>
    </w:p>
    <w:p w14:paraId="603BE617" w14:textId="634088D3" w:rsidR="003F3578" w:rsidRDefault="00AF52E0" w:rsidP="00AF52E0">
      <w:pPr>
        <w:spacing w:after="120" w:line="240" w:lineRule="auto"/>
        <w:ind w:left="720" w:right="543"/>
        <w:rPr>
          <w:rFonts w:ascii="Arial" w:hAnsi="Arial" w:cs="Arial"/>
          <w:iCs/>
          <w:sz w:val="24"/>
          <w:szCs w:val="24"/>
        </w:rPr>
      </w:pPr>
      <w:r w:rsidRPr="00AF52E0">
        <w:rPr>
          <w:rFonts w:ascii="Arial" w:hAnsi="Arial" w:cs="Arial"/>
          <w:iCs/>
          <w:sz w:val="24"/>
          <w:szCs w:val="24"/>
        </w:rPr>
        <w:t>Examination, 3 hour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1ACED34" w:rsidR="00B72470" w:rsidRDefault="00D34509" w:rsidP="00D34509">
      <w:pPr>
        <w:spacing w:after="120" w:line="240" w:lineRule="auto"/>
        <w:ind w:left="426" w:right="401"/>
        <w:rPr>
          <w:rFonts w:ascii="Arial" w:hAnsi="Arial" w:cs="Arial"/>
          <w:iCs/>
          <w:sz w:val="24"/>
          <w:szCs w:val="24"/>
        </w:rPr>
      </w:pPr>
      <w:r>
        <w:rPr>
          <w:rFonts w:ascii="Arial" w:hAnsi="Arial" w:cs="Arial"/>
          <w:iCs/>
          <w:sz w:val="24"/>
          <w:szCs w:val="24"/>
        </w:rPr>
        <w:tab/>
      </w:r>
      <w:r w:rsidR="00AF52E0">
        <w:rPr>
          <w:rFonts w:ascii="Arial" w:hAnsi="Arial" w:cs="Arial"/>
          <w:iCs/>
          <w:sz w:val="24"/>
          <w:szCs w:val="24"/>
        </w:rPr>
        <w:t>100% examination</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386" w:type="pct"/>
        <w:tblLook w:val="04A0" w:firstRow="1" w:lastRow="0" w:firstColumn="1" w:lastColumn="0" w:noHBand="0" w:noVBand="1"/>
      </w:tblPr>
      <w:tblGrid>
        <w:gridCol w:w="2028"/>
        <w:gridCol w:w="893"/>
        <w:gridCol w:w="893"/>
        <w:gridCol w:w="893"/>
        <w:gridCol w:w="893"/>
        <w:gridCol w:w="893"/>
        <w:gridCol w:w="893"/>
        <w:gridCol w:w="893"/>
        <w:gridCol w:w="893"/>
      </w:tblGrid>
      <w:tr w:rsidR="00AF52E0" w:rsidRPr="009D52D0" w14:paraId="5413EC92" w14:textId="77777777" w:rsidTr="00AF52E0">
        <w:trPr>
          <w:cantSplit/>
          <w:tblHeader/>
        </w:trPr>
        <w:tc>
          <w:tcPr>
            <w:tcW w:w="1648" w:type="pct"/>
            <w:shd w:val="clear" w:color="auto" w:fill="D9D9D9" w:themeFill="background1" w:themeFillShade="D9"/>
          </w:tcPr>
          <w:p w14:paraId="140365DD" w14:textId="77777777" w:rsidR="00AF52E0" w:rsidRPr="009D52D0" w:rsidRDefault="00AF52E0" w:rsidP="00D34509">
            <w:pPr>
              <w:spacing w:after="120"/>
              <w:ind w:left="33" w:right="-9866"/>
              <w:rPr>
                <w:rFonts w:ascii="Arial" w:hAnsi="Arial" w:cs="Arial"/>
                <w:b/>
                <w:sz w:val="20"/>
                <w:szCs w:val="20"/>
              </w:rPr>
            </w:pPr>
            <w:r w:rsidRPr="009D52D0">
              <w:rPr>
                <w:rFonts w:ascii="Arial" w:hAnsi="Arial" w:cs="Arial"/>
                <w:b/>
                <w:sz w:val="20"/>
                <w:szCs w:val="20"/>
              </w:rPr>
              <w:t>Module learning outcome</w:t>
            </w:r>
          </w:p>
        </w:tc>
        <w:tc>
          <w:tcPr>
            <w:tcW w:w="487" w:type="pct"/>
          </w:tcPr>
          <w:p w14:paraId="6167848F" w14:textId="77777777" w:rsidR="00AF52E0" w:rsidRPr="009D52D0" w:rsidRDefault="00AF52E0" w:rsidP="004F0496">
            <w:pPr>
              <w:spacing w:after="120"/>
              <w:ind w:right="-6562"/>
              <w:rPr>
                <w:rFonts w:ascii="Arial" w:hAnsi="Arial" w:cs="Arial"/>
                <w:sz w:val="20"/>
                <w:szCs w:val="20"/>
              </w:rPr>
            </w:pPr>
            <w:r w:rsidRPr="009D52D0">
              <w:rPr>
                <w:rFonts w:ascii="Arial" w:hAnsi="Arial" w:cs="Arial"/>
                <w:sz w:val="20"/>
                <w:szCs w:val="20"/>
              </w:rPr>
              <w:t>8.1</w:t>
            </w:r>
          </w:p>
        </w:tc>
        <w:tc>
          <w:tcPr>
            <w:tcW w:w="487" w:type="pct"/>
          </w:tcPr>
          <w:p w14:paraId="5B554168" w14:textId="77777777" w:rsidR="00AF52E0" w:rsidRPr="009D52D0" w:rsidRDefault="00AF52E0" w:rsidP="004F0496">
            <w:pPr>
              <w:spacing w:after="120"/>
              <w:ind w:right="-7962"/>
              <w:rPr>
                <w:rFonts w:ascii="Arial" w:hAnsi="Arial" w:cs="Arial"/>
                <w:sz w:val="20"/>
                <w:szCs w:val="20"/>
              </w:rPr>
            </w:pPr>
            <w:r w:rsidRPr="009D52D0">
              <w:rPr>
                <w:rFonts w:ascii="Arial" w:hAnsi="Arial" w:cs="Arial"/>
                <w:sz w:val="20"/>
                <w:szCs w:val="20"/>
              </w:rPr>
              <w:t>8.2</w:t>
            </w:r>
          </w:p>
        </w:tc>
        <w:tc>
          <w:tcPr>
            <w:tcW w:w="487" w:type="pct"/>
          </w:tcPr>
          <w:p w14:paraId="70BB1C5A" w14:textId="77777777" w:rsidR="00AF52E0" w:rsidRPr="009D52D0" w:rsidRDefault="00AF52E0" w:rsidP="00D34509">
            <w:pPr>
              <w:spacing w:after="120"/>
              <w:ind w:right="-7488"/>
              <w:rPr>
                <w:rFonts w:ascii="Arial" w:hAnsi="Arial" w:cs="Arial"/>
                <w:sz w:val="20"/>
                <w:szCs w:val="20"/>
              </w:rPr>
            </w:pPr>
            <w:r w:rsidRPr="009D52D0">
              <w:rPr>
                <w:rFonts w:ascii="Arial" w:hAnsi="Arial" w:cs="Arial"/>
                <w:sz w:val="20"/>
                <w:szCs w:val="20"/>
              </w:rPr>
              <w:t>8.3</w:t>
            </w:r>
          </w:p>
        </w:tc>
        <w:tc>
          <w:tcPr>
            <w:tcW w:w="487" w:type="pct"/>
          </w:tcPr>
          <w:p w14:paraId="553BA646" w14:textId="77777777" w:rsidR="00AF52E0" w:rsidRPr="009D52D0" w:rsidRDefault="00AF52E0" w:rsidP="00D34509">
            <w:pPr>
              <w:spacing w:after="120"/>
              <w:ind w:right="-6932"/>
              <w:rPr>
                <w:rFonts w:ascii="Arial" w:hAnsi="Arial" w:cs="Arial"/>
                <w:sz w:val="20"/>
                <w:szCs w:val="20"/>
              </w:rPr>
            </w:pPr>
            <w:r w:rsidRPr="009D52D0">
              <w:rPr>
                <w:rFonts w:ascii="Arial" w:hAnsi="Arial" w:cs="Arial"/>
                <w:sz w:val="20"/>
                <w:szCs w:val="20"/>
              </w:rPr>
              <w:t>8.4</w:t>
            </w:r>
          </w:p>
        </w:tc>
        <w:tc>
          <w:tcPr>
            <w:tcW w:w="351" w:type="pct"/>
          </w:tcPr>
          <w:p w14:paraId="3B577D4A" w14:textId="77777777" w:rsidR="00AF52E0" w:rsidRPr="009D52D0" w:rsidRDefault="00AF52E0" w:rsidP="004F0496">
            <w:pPr>
              <w:spacing w:after="120"/>
              <w:ind w:right="-4991"/>
              <w:rPr>
                <w:rFonts w:ascii="Arial" w:hAnsi="Arial" w:cs="Arial"/>
                <w:sz w:val="20"/>
                <w:szCs w:val="20"/>
              </w:rPr>
            </w:pPr>
            <w:r w:rsidRPr="009D52D0">
              <w:rPr>
                <w:rFonts w:ascii="Arial" w:hAnsi="Arial" w:cs="Arial"/>
                <w:sz w:val="20"/>
                <w:szCs w:val="20"/>
              </w:rPr>
              <w:t>9.1</w:t>
            </w:r>
          </w:p>
        </w:tc>
        <w:tc>
          <w:tcPr>
            <w:tcW w:w="351" w:type="pct"/>
          </w:tcPr>
          <w:p w14:paraId="266E4126" w14:textId="77777777" w:rsidR="00AF52E0" w:rsidRPr="009D52D0" w:rsidRDefault="00AF52E0" w:rsidP="004F0496">
            <w:pPr>
              <w:spacing w:after="120"/>
              <w:ind w:right="-3941"/>
              <w:rPr>
                <w:rFonts w:ascii="Arial" w:hAnsi="Arial" w:cs="Arial"/>
                <w:sz w:val="20"/>
                <w:szCs w:val="20"/>
              </w:rPr>
            </w:pPr>
            <w:r w:rsidRPr="009D52D0">
              <w:rPr>
                <w:rFonts w:ascii="Arial" w:hAnsi="Arial" w:cs="Arial"/>
                <w:sz w:val="20"/>
                <w:szCs w:val="20"/>
              </w:rPr>
              <w:t>9.2</w:t>
            </w:r>
          </w:p>
        </w:tc>
        <w:tc>
          <w:tcPr>
            <w:tcW w:w="351" w:type="pct"/>
          </w:tcPr>
          <w:p w14:paraId="6EC60A4C" w14:textId="77777777" w:rsidR="00AF52E0" w:rsidRPr="009D52D0" w:rsidRDefault="00AF52E0" w:rsidP="004F0496">
            <w:pPr>
              <w:spacing w:after="120"/>
              <w:ind w:right="-2906"/>
              <w:rPr>
                <w:rFonts w:ascii="Arial" w:hAnsi="Arial" w:cs="Arial"/>
                <w:sz w:val="20"/>
                <w:szCs w:val="20"/>
              </w:rPr>
            </w:pPr>
            <w:r w:rsidRPr="009D52D0">
              <w:rPr>
                <w:rFonts w:ascii="Arial" w:hAnsi="Arial" w:cs="Arial"/>
                <w:sz w:val="20"/>
                <w:szCs w:val="20"/>
              </w:rPr>
              <w:t>9.3</w:t>
            </w:r>
          </w:p>
        </w:tc>
        <w:tc>
          <w:tcPr>
            <w:tcW w:w="351" w:type="pct"/>
          </w:tcPr>
          <w:p w14:paraId="3E85E7FE" w14:textId="77777777" w:rsidR="00AF52E0" w:rsidRPr="009D52D0" w:rsidRDefault="00AF52E0" w:rsidP="004F0496">
            <w:pPr>
              <w:spacing w:after="120"/>
              <w:ind w:right="-1871"/>
              <w:rPr>
                <w:rFonts w:ascii="Arial" w:hAnsi="Arial" w:cs="Arial"/>
                <w:sz w:val="20"/>
                <w:szCs w:val="20"/>
              </w:rPr>
            </w:pPr>
            <w:r w:rsidRPr="009D52D0">
              <w:rPr>
                <w:rFonts w:ascii="Arial" w:hAnsi="Arial" w:cs="Arial"/>
                <w:sz w:val="20"/>
                <w:szCs w:val="20"/>
              </w:rPr>
              <w:t>9.4</w:t>
            </w:r>
          </w:p>
        </w:tc>
      </w:tr>
      <w:tr w:rsidR="00AF52E0" w:rsidRPr="009D52D0" w14:paraId="5C50A519" w14:textId="77777777" w:rsidTr="00AF52E0">
        <w:tc>
          <w:tcPr>
            <w:tcW w:w="1648" w:type="pct"/>
          </w:tcPr>
          <w:p w14:paraId="433DE3A7" w14:textId="2E3B4884" w:rsidR="00AF52E0" w:rsidRPr="009D52D0" w:rsidRDefault="00AF52E0" w:rsidP="00D34509">
            <w:pPr>
              <w:spacing w:after="120"/>
              <w:ind w:right="-3075"/>
              <w:rPr>
                <w:rFonts w:ascii="Arial" w:hAnsi="Arial" w:cs="Arial"/>
                <w:i/>
                <w:sz w:val="20"/>
                <w:szCs w:val="20"/>
              </w:rPr>
            </w:pPr>
            <w:r>
              <w:rPr>
                <w:rFonts w:ascii="Arial" w:hAnsi="Arial" w:cs="Arial"/>
                <w:i/>
                <w:sz w:val="20"/>
                <w:szCs w:val="20"/>
              </w:rPr>
              <w:t>Private Study</w:t>
            </w:r>
          </w:p>
        </w:tc>
        <w:tc>
          <w:tcPr>
            <w:tcW w:w="487" w:type="pct"/>
          </w:tcPr>
          <w:p w14:paraId="3853654B" w14:textId="4CDFBECC"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7261D01A" w14:textId="3EA77638"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2D7957D4" w14:textId="396F2194"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232B2686" w14:textId="7767FF6E"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2AE9F109" w14:textId="77777777" w:rsidR="00AF52E0" w:rsidRPr="009D52D0" w:rsidRDefault="00AF52E0" w:rsidP="004F0496">
            <w:pPr>
              <w:spacing w:after="120"/>
              <w:ind w:right="543"/>
              <w:rPr>
                <w:rFonts w:ascii="Arial" w:hAnsi="Arial" w:cs="Arial"/>
                <w:b/>
                <w:sz w:val="20"/>
                <w:szCs w:val="20"/>
              </w:rPr>
            </w:pPr>
          </w:p>
        </w:tc>
        <w:tc>
          <w:tcPr>
            <w:tcW w:w="351" w:type="pct"/>
          </w:tcPr>
          <w:p w14:paraId="6BD0A090" w14:textId="0473ECA3"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3DAC9A4A" w14:textId="77777777" w:rsidR="00AF52E0" w:rsidRPr="009D52D0" w:rsidRDefault="00AF52E0" w:rsidP="004F0496">
            <w:pPr>
              <w:spacing w:after="120"/>
              <w:ind w:right="543"/>
              <w:rPr>
                <w:rFonts w:ascii="Arial" w:hAnsi="Arial" w:cs="Arial"/>
                <w:b/>
                <w:sz w:val="20"/>
                <w:szCs w:val="20"/>
              </w:rPr>
            </w:pPr>
          </w:p>
        </w:tc>
        <w:tc>
          <w:tcPr>
            <w:tcW w:w="351" w:type="pct"/>
          </w:tcPr>
          <w:p w14:paraId="21A7EAF7" w14:textId="6E49E4B5"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r>
      <w:tr w:rsidR="00AF52E0" w:rsidRPr="009D52D0" w14:paraId="460BDA99" w14:textId="77777777" w:rsidTr="00AF52E0">
        <w:tc>
          <w:tcPr>
            <w:tcW w:w="1648" w:type="pct"/>
          </w:tcPr>
          <w:p w14:paraId="1CDAA785" w14:textId="5C2C5142" w:rsidR="00AF52E0" w:rsidRPr="009D52D0" w:rsidRDefault="00AF52E0" w:rsidP="004F0496">
            <w:pPr>
              <w:spacing w:after="120"/>
              <w:ind w:right="44"/>
              <w:rPr>
                <w:rFonts w:ascii="Arial" w:hAnsi="Arial" w:cs="Arial"/>
                <w:i/>
                <w:sz w:val="20"/>
                <w:szCs w:val="20"/>
              </w:rPr>
            </w:pPr>
            <w:r>
              <w:rPr>
                <w:rFonts w:ascii="Arial" w:hAnsi="Arial" w:cs="Arial"/>
                <w:i/>
                <w:sz w:val="20"/>
                <w:szCs w:val="20"/>
              </w:rPr>
              <w:t>Lectures</w:t>
            </w:r>
          </w:p>
        </w:tc>
        <w:tc>
          <w:tcPr>
            <w:tcW w:w="487" w:type="pct"/>
          </w:tcPr>
          <w:p w14:paraId="0B596153" w14:textId="23D7D623"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7EF775FB" w14:textId="2A3EC339"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76760D4D" w14:textId="44D438A0"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29E92B33" w14:textId="1C8D2094"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1C240711" w14:textId="77777777" w:rsidR="00AF52E0" w:rsidRPr="009D52D0" w:rsidRDefault="00AF52E0" w:rsidP="004F0496">
            <w:pPr>
              <w:spacing w:after="120"/>
              <w:ind w:right="543"/>
              <w:rPr>
                <w:rFonts w:ascii="Arial" w:hAnsi="Arial" w:cs="Arial"/>
                <w:b/>
                <w:sz w:val="20"/>
                <w:szCs w:val="20"/>
              </w:rPr>
            </w:pPr>
          </w:p>
        </w:tc>
        <w:tc>
          <w:tcPr>
            <w:tcW w:w="351" w:type="pct"/>
          </w:tcPr>
          <w:p w14:paraId="2D2FDCA3" w14:textId="77777777" w:rsidR="00AF52E0" w:rsidRPr="009D52D0" w:rsidRDefault="00AF52E0" w:rsidP="004F0496">
            <w:pPr>
              <w:spacing w:after="120"/>
              <w:ind w:right="543"/>
              <w:rPr>
                <w:rFonts w:ascii="Arial" w:hAnsi="Arial" w:cs="Arial"/>
                <w:b/>
                <w:sz w:val="20"/>
                <w:szCs w:val="20"/>
              </w:rPr>
            </w:pPr>
          </w:p>
        </w:tc>
        <w:tc>
          <w:tcPr>
            <w:tcW w:w="351" w:type="pct"/>
          </w:tcPr>
          <w:p w14:paraId="20301B4E" w14:textId="77777777" w:rsidR="00AF52E0" w:rsidRPr="009D52D0" w:rsidRDefault="00AF52E0" w:rsidP="004F0496">
            <w:pPr>
              <w:spacing w:after="120"/>
              <w:ind w:right="543"/>
              <w:rPr>
                <w:rFonts w:ascii="Arial" w:hAnsi="Arial" w:cs="Arial"/>
                <w:b/>
                <w:sz w:val="20"/>
                <w:szCs w:val="20"/>
              </w:rPr>
            </w:pPr>
          </w:p>
        </w:tc>
        <w:tc>
          <w:tcPr>
            <w:tcW w:w="351" w:type="pct"/>
          </w:tcPr>
          <w:p w14:paraId="70943AC0" w14:textId="6D27880F"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r>
      <w:tr w:rsidR="00AF52E0" w:rsidRPr="009D52D0" w14:paraId="22619170" w14:textId="77777777" w:rsidTr="00AF52E0">
        <w:tc>
          <w:tcPr>
            <w:tcW w:w="1648" w:type="pct"/>
          </w:tcPr>
          <w:p w14:paraId="4FCDEF28" w14:textId="3603DA70" w:rsidR="00AF52E0" w:rsidRPr="009D52D0" w:rsidRDefault="00AF52E0" w:rsidP="004F0496">
            <w:pPr>
              <w:spacing w:after="120"/>
              <w:ind w:right="543"/>
              <w:rPr>
                <w:rFonts w:ascii="Arial" w:hAnsi="Arial" w:cs="Arial"/>
                <w:i/>
                <w:sz w:val="20"/>
                <w:szCs w:val="20"/>
              </w:rPr>
            </w:pPr>
            <w:r>
              <w:rPr>
                <w:rFonts w:ascii="Arial" w:hAnsi="Arial" w:cs="Arial"/>
                <w:i/>
                <w:sz w:val="20"/>
                <w:szCs w:val="20"/>
              </w:rPr>
              <w:t>Seminars</w:t>
            </w:r>
          </w:p>
        </w:tc>
        <w:tc>
          <w:tcPr>
            <w:tcW w:w="487" w:type="pct"/>
          </w:tcPr>
          <w:p w14:paraId="2A5CB317" w14:textId="209B8D6E"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414F3FDD" w14:textId="0A8D70AF"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1851D834" w14:textId="6F289422"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16E01158" w14:textId="02C7BCCA"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5DB74B51" w14:textId="43A23C2B"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5BD1446E" w14:textId="41EB0C99"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063B2048" w14:textId="714F254B"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25522859" w14:textId="045694AD"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07F4DA55" w14:textId="77777777" w:rsidR="00415918" w:rsidRDefault="00415918" w:rsidP="00636058">
      <w:pPr>
        <w:spacing w:after="120" w:line="240" w:lineRule="auto"/>
        <w:ind w:left="426" w:right="543" w:firstLine="294"/>
        <w:rPr>
          <w:rFonts w:ascii="Arial" w:hAnsi="Arial" w:cs="Arial"/>
          <w:b/>
          <w:iCs/>
          <w:sz w:val="24"/>
          <w:szCs w:val="24"/>
        </w:rPr>
      </w:pPr>
    </w:p>
    <w:p w14:paraId="1DF2B576" w14:textId="09AB33F4"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298" w:type="pct"/>
        <w:tblLook w:val="04A0" w:firstRow="1" w:lastRow="0" w:firstColumn="1" w:lastColumn="0" w:noHBand="0" w:noVBand="1"/>
      </w:tblPr>
      <w:tblGrid>
        <w:gridCol w:w="2020"/>
        <w:gridCol w:w="871"/>
        <w:gridCol w:w="871"/>
        <w:gridCol w:w="871"/>
        <w:gridCol w:w="871"/>
        <w:gridCol w:w="871"/>
        <w:gridCol w:w="871"/>
        <w:gridCol w:w="871"/>
        <w:gridCol w:w="871"/>
      </w:tblGrid>
      <w:tr w:rsidR="00AF52E0" w:rsidRPr="009D52D0" w14:paraId="7224F08D" w14:textId="77777777" w:rsidTr="00AF52E0">
        <w:trPr>
          <w:cantSplit/>
          <w:tblHeader/>
        </w:trPr>
        <w:tc>
          <w:tcPr>
            <w:tcW w:w="1736" w:type="pct"/>
            <w:shd w:val="clear" w:color="auto" w:fill="D9D9D9" w:themeFill="background1" w:themeFillShade="D9"/>
          </w:tcPr>
          <w:p w14:paraId="5E889EAF" w14:textId="77777777" w:rsidR="00AF52E0" w:rsidRPr="009D52D0" w:rsidRDefault="00AF52E0" w:rsidP="00C10563">
            <w:pPr>
              <w:spacing w:after="120"/>
              <w:ind w:left="33" w:right="-9866"/>
              <w:rPr>
                <w:rFonts w:ascii="Arial" w:hAnsi="Arial" w:cs="Arial"/>
                <w:b/>
                <w:sz w:val="20"/>
                <w:szCs w:val="20"/>
              </w:rPr>
            </w:pPr>
            <w:r w:rsidRPr="009D52D0">
              <w:rPr>
                <w:rFonts w:ascii="Arial" w:hAnsi="Arial" w:cs="Arial"/>
                <w:b/>
                <w:sz w:val="20"/>
                <w:szCs w:val="20"/>
              </w:rPr>
              <w:lastRenderedPageBreak/>
              <w:t>Module learning outcome</w:t>
            </w:r>
          </w:p>
        </w:tc>
        <w:tc>
          <w:tcPr>
            <w:tcW w:w="408" w:type="pct"/>
          </w:tcPr>
          <w:p w14:paraId="3A3C888D" w14:textId="77777777" w:rsidR="00AF52E0" w:rsidRPr="009D52D0" w:rsidRDefault="00AF52E0" w:rsidP="00C10563">
            <w:pPr>
              <w:spacing w:after="120"/>
              <w:ind w:right="-6562"/>
              <w:rPr>
                <w:rFonts w:ascii="Arial" w:hAnsi="Arial" w:cs="Arial"/>
                <w:sz w:val="20"/>
                <w:szCs w:val="20"/>
              </w:rPr>
            </w:pPr>
            <w:r w:rsidRPr="009D52D0">
              <w:rPr>
                <w:rFonts w:ascii="Arial" w:hAnsi="Arial" w:cs="Arial"/>
                <w:sz w:val="20"/>
                <w:szCs w:val="20"/>
              </w:rPr>
              <w:t>8.1</w:t>
            </w:r>
          </w:p>
        </w:tc>
        <w:tc>
          <w:tcPr>
            <w:tcW w:w="408" w:type="pct"/>
          </w:tcPr>
          <w:p w14:paraId="3F4F4F0E" w14:textId="77777777" w:rsidR="00AF52E0" w:rsidRPr="009D52D0" w:rsidRDefault="00AF52E0" w:rsidP="00C10563">
            <w:pPr>
              <w:spacing w:after="120"/>
              <w:ind w:right="-7962"/>
              <w:rPr>
                <w:rFonts w:ascii="Arial" w:hAnsi="Arial" w:cs="Arial"/>
                <w:sz w:val="20"/>
                <w:szCs w:val="20"/>
              </w:rPr>
            </w:pPr>
            <w:r w:rsidRPr="009D52D0">
              <w:rPr>
                <w:rFonts w:ascii="Arial" w:hAnsi="Arial" w:cs="Arial"/>
                <w:sz w:val="20"/>
                <w:szCs w:val="20"/>
              </w:rPr>
              <w:t>8.2</w:t>
            </w:r>
          </w:p>
        </w:tc>
        <w:tc>
          <w:tcPr>
            <w:tcW w:w="408" w:type="pct"/>
          </w:tcPr>
          <w:p w14:paraId="6098B103" w14:textId="77777777" w:rsidR="00AF52E0" w:rsidRPr="009D52D0" w:rsidRDefault="00AF52E0" w:rsidP="00C10563">
            <w:pPr>
              <w:spacing w:after="120"/>
              <w:ind w:right="-7488"/>
              <w:rPr>
                <w:rFonts w:ascii="Arial" w:hAnsi="Arial" w:cs="Arial"/>
                <w:sz w:val="20"/>
                <w:szCs w:val="20"/>
              </w:rPr>
            </w:pPr>
            <w:r w:rsidRPr="009D52D0">
              <w:rPr>
                <w:rFonts w:ascii="Arial" w:hAnsi="Arial" w:cs="Arial"/>
                <w:sz w:val="20"/>
                <w:szCs w:val="20"/>
              </w:rPr>
              <w:t>8.3</w:t>
            </w:r>
          </w:p>
        </w:tc>
        <w:tc>
          <w:tcPr>
            <w:tcW w:w="408" w:type="pct"/>
          </w:tcPr>
          <w:p w14:paraId="5CCBB3A1" w14:textId="77777777" w:rsidR="00AF52E0" w:rsidRPr="009D52D0" w:rsidRDefault="00AF52E0" w:rsidP="00C10563">
            <w:pPr>
              <w:spacing w:after="120"/>
              <w:ind w:right="-6932"/>
              <w:rPr>
                <w:rFonts w:ascii="Arial" w:hAnsi="Arial" w:cs="Arial"/>
                <w:sz w:val="20"/>
                <w:szCs w:val="20"/>
              </w:rPr>
            </w:pPr>
            <w:r w:rsidRPr="009D52D0">
              <w:rPr>
                <w:rFonts w:ascii="Arial" w:hAnsi="Arial" w:cs="Arial"/>
                <w:sz w:val="20"/>
                <w:szCs w:val="20"/>
              </w:rPr>
              <w:t>8.4</w:t>
            </w:r>
          </w:p>
        </w:tc>
        <w:tc>
          <w:tcPr>
            <w:tcW w:w="408" w:type="pct"/>
          </w:tcPr>
          <w:p w14:paraId="413EFF3D" w14:textId="77777777" w:rsidR="00AF52E0" w:rsidRPr="009D52D0" w:rsidRDefault="00AF52E0" w:rsidP="00C10563">
            <w:pPr>
              <w:spacing w:after="120"/>
              <w:ind w:right="-4991"/>
              <w:rPr>
                <w:rFonts w:ascii="Arial" w:hAnsi="Arial" w:cs="Arial"/>
                <w:sz w:val="20"/>
                <w:szCs w:val="20"/>
              </w:rPr>
            </w:pPr>
            <w:r w:rsidRPr="009D52D0">
              <w:rPr>
                <w:rFonts w:ascii="Arial" w:hAnsi="Arial" w:cs="Arial"/>
                <w:sz w:val="20"/>
                <w:szCs w:val="20"/>
              </w:rPr>
              <w:t>9.1</w:t>
            </w:r>
          </w:p>
        </w:tc>
        <w:tc>
          <w:tcPr>
            <w:tcW w:w="408" w:type="pct"/>
          </w:tcPr>
          <w:p w14:paraId="28D2A2CD" w14:textId="77777777" w:rsidR="00AF52E0" w:rsidRPr="009D52D0" w:rsidRDefault="00AF52E0" w:rsidP="00C10563">
            <w:pPr>
              <w:spacing w:after="120"/>
              <w:ind w:right="-3941"/>
              <w:rPr>
                <w:rFonts w:ascii="Arial" w:hAnsi="Arial" w:cs="Arial"/>
                <w:sz w:val="20"/>
                <w:szCs w:val="20"/>
              </w:rPr>
            </w:pPr>
            <w:r w:rsidRPr="009D52D0">
              <w:rPr>
                <w:rFonts w:ascii="Arial" w:hAnsi="Arial" w:cs="Arial"/>
                <w:sz w:val="20"/>
                <w:szCs w:val="20"/>
              </w:rPr>
              <w:t>9.2</w:t>
            </w:r>
          </w:p>
        </w:tc>
        <w:tc>
          <w:tcPr>
            <w:tcW w:w="408" w:type="pct"/>
          </w:tcPr>
          <w:p w14:paraId="33BC4B92" w14:textId="77777777" w:rsidR="00AF52E0" w:rsidRPr="009D52D0" w:rsidRDefault="00AF52E0" w:rsidP="00C10563">
            <w:pPr>
              <w:spacing w:after="120"/>
              <w:ind w:right="-2906"/>
              <w:rPr>
                <w:rFonts w:ascii="Arial" w:hAnsi="Arial" w:cs="Arial"/>
                <w:sz w:val="20"/>
                <w:szCs w:val="20"/>
              </w:rPr>
            </w:pPr>
            <w:r w:rsidRPr="009D52D0">
              <w:rPr>
                <w:rFonts w:ascii="Arial" w:hAnsi="Arial" w:cs="Arial"/>
                <w:sz w:val="20"/>
                <w:szCs w:val="20"/>
              </w:rPr>
              <w:t>9.3</w:t>
            </w:r>
          </w:p>
        </w:tc>
        <w:tc>
          <w:tcPr>
            <w:tcW w:w="408" w:type="pct"/>
          </w:tcPr>
          <w:p w14:paraId="59ABE340" w14:textId="77777777" w:rsidR="00AF52E0" w:rsidRPr="009D52D0" w:rsidRDefault="00AF52E0" w:rsidP="00C10563">
            <w:pPr>
              <w:spacing w:after="120"/>
              <w:ind w:right="-1871"/>
              <w:rPr>
                <w:rFonts w:ascii="Arial" w:hAnsi="Arial" w:cs="Arial"/>
                <w:sz w:val="20"/>
                <w:szCs w:val="20"/>
              </w:rPr>
            </w:pPr>
            <w:r w:rsidRPr="009D52D0">
              <w:rPr>
                <w:rFonts w:ascii="Arial" w:hAnsi="Arial" w:cs="Arial"/>
                <w:sz w:val="20"/>
                <w:szCs w:val="20"/>
              </w:rPr>
              <w:t>9.4</w:t>
            </w:r>
          </w:p>
        </w:tc>
      </w:tr>
      <w:tr w:rsidR="00AF52E0" w:rsidRPr="009D52D0" w14:paraId="496C830A" w14:textId="77777777" w:rsidTr="00AF52E0">
        <w:tc>
          <w:tcPr>
            <w:tcW w:w="1736" w:type="pct"/>
          </w:tcPr>
          <w:p w14:paraId="0E2D47C3" w14:textId="33AFBB37" w:rsidR="00AF52E0" w:rsidRPr="009D52D0" w:rsidRDefault="00AF52E0" w:rsidP="00D34509">
            <w:pPr>
              <w:tabs>
                <w:tab w:val="left" w:pos="915"/>
              </w:tabs>
              <w:spacing w:after="120"/>
              <w:ind w:right="-9737"/>
              <w:rPr>
                <w:rFonts w:ascii="Arial" w:hAnsi="Arial" w:cs="Arial"/>
                <w:b/>
                <w:sz w:val="20"/>
                <w:szCs w:val="20"/>
              </w:rPr>
            </w:pPr>
            <w:r w:rsidRPr="009D52D0">
              <w:rPr>
                <w:rFonts w:ascii="Arial" w:hAnsi="Arial" w:cs="Arial"/>
                <w:i/>
                <w:sz w:val="20"/>
                <w:szCs w:val="20"/>
              </w:rPr>
              <w:t>MCQ test</w:t>
            </w:r>
          </w:p>
        </w:tc>
        <w:tc>
          <w:tcPr>
            <w:tcW w:w="408" w:type="pct"/>
          </w:tcPr>
          <w:p w14:paraId="7A26C519" w14:textId="48E537F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C64584D" w14:textId="1CA1E5CA"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09C6480" w14:textId="09F93A0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AC87D3C" w14:textId="393492A9"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BFF9DED" w14:textId="77777777" w:rsidR="00AF52E0" w:rsidRPr="009D52D0" w:rsidRDefault="00AF52E0" w:rsidP="00D34509">
            <w:pPr>
              <w:spacing w:after="120"/>
              <w:ind w:right="543"/>
              <w:rPr>
                <w:rFonts w:ascii="Arial" w:hAnsi="Arial" w:cs="Arial"/>
                <w:b/>
                <w:sz w:val="20"/>
                <w:szCs w:val="20"/>
              </w:rPr>
            </w:pPr>
          </w:p>
        </w:tc>
        <w:tc>
          <w:tcPr>
            <w:tcW w:w="408" w:type="pct"/>
          </w:tcPr>
          <w:p w14:paraId="385A5E19" w14:textId="30EB2EF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DD8A61E" w14:textId="77777777" w:rsidR="00AF52E0" w:rsidRPr="009D52D0" w:rsidRDefault="00AF52E0" w:rsidP="00D34509">
            <w:pPr>
              <w:spacing w:after="120"/>
              <w:ind w:right="543"/>
              <w:rPr>
                <w:rFonts w:ascii="Arial" w:hAnsi="Arial" w:cs="Arial"/>
                <w:b/>
                <w:sz w:val="20"/>
                <w:szCs w:val="20"/>
              </w:rPr>
            </w:pPr>
          </w:p>
        </w:tc>
        <w:tc>
          <w:tcPr>
            <w:tcW w:w="408" w:type="pct"/>
          </w:tcPr>
          <w:p w14:paraId="7B69C036" w14:textId="497698B2"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r>
      <w:tr w:rsidR="00AF52E0" w:rsidRPr="009D52D0" w14:paraId="0987BDB3" w14:textId="77777777" w:rsidTr="00AF52E0">
        <w:tc>
          <w:tcPr>
            <w:tcW w:w="1736" w:type="pct"/>
          </w:tcPr>
          <w:p w14:paraId="62EBF3FE" w14:textId="23FFA4FD" w:rsidR="00AF52E0" w:rsidRPr="009D52D0" w:rsidRDefault="00AF52E0" w:rsidP="00D34509">
            <w:pPr>
              <w:spacing w:after="120"/>
              <w:ind w:right="-3075"/>
              <w:rPr>
                <w:rFonts w:ascii="Arial" w:hAnsi="Arial" w:cs="Arial"/>
                <w:i/>
                <w:sz w:val="20"/>
                <w:szCs w:val="20"/>
              </w:rPr>
            </w:pPr>
            <w:r>
              <w:rPr>
                <w:rFonts w:ascii="Arial" w:hAnsi="Arial" w:cs="Arial"/>
                <w:i/>
                <w:sz w:val="20"/>
                <w:szCs w:val="20"/>
              </w:rPr>
              <w:t>Group Case Analysis</w:t>
            </w:r>
          </w:p>
        </w:tc>
        <w:tc>
          <w:tcPr>
            <w:tcW w:w="408" w:type="pct"/>
          </w:tcPr>
          <w:p w14:paraId="10FC3D8E" w14:textId="65CCB702"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7D221BD" w14:textId="7995B977"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3652F7F" w14:textId="7FF90017"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BDBDAD4" w14:textId="0E8567E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BEC1B51" w14:textId="2EF07C10"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BE0FDB8" w14:textId="5AD4358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1724918" w14:textId="1A171D7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486B01F9" w14:textId="03D33841"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r>
      <w:tr w:rsidR="00AF52E0" w:rsidRPr="009D52D0" w14:paraId="7608ED34" w14:textId="77777777" w:rsidTr="00AF52E0">
        <w:tc>
          <w:tcPr>
            <w:tcW w:w="1736" w:type="pct"/>
          </w:tcPr>
          <w:p w14:paraId="7D595890" w14:textId="43F5D47A" w:rsidR="00AF52E0" w:rsidRPr="009D52D0" w:rsidRDefault="00AF52E0" w:rsidP="00D34509">
            <w:pPr>
              <w:spacing w:after="120"/>
              <w:ind w:right="543"/>
              <w:rPr>
                <w:rFonts w:ascii="Arial" w:hAnsi="Arial" w:cs="Arial"/>
                <w:i/>
                <w:sz w:val="20"/>
                <w:szCs w:val="20"/>
              </w:rPr>
            </w:pPr>
            <w:r w:rsidRPr="009D52D0">
              <w:rPr>
                <w:rFonts w:ascii="Arial" w:hAnsi="Arial" w:cs="Arial"/>
                <w:i/>
                <w:sz w:val="20"/>
                <w:szCs w:val="20"/>
              </w:rPr>
              <w:t>Examination</w:t>
            </w:r>
          </w:p>
        </w:tc>
        <w:tc>
          <w:tcPr>
            <w:tcW w:w="408" w:type="pct"/>
          </w:tcPr>
          <w:p w14:paraId="67A78758" w14:textId="5921C20B"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1001EB3" w14:textId="7F1E152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CA689CD" w14:textId="401F8936"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C014FF8" w14:textId="14DFAE11"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6E13A166" w14:textId="642586A9"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0223BC4C" w14:textId="0EABDBF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FFB5500" w14:textId="72231D2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57F8ACFA" w14:textId="48231DE4"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r>
    </w:tbl>
    <w:p w14:paraId="50698ADD" w14:textId="28774068" w:rsidR="00D34509" w:rsidRDefault="00D34509"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A97ACC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714F7BB" w:rsidR="009A2D37" w:rsidRDefault="00AF52E0" w:rsidP="00D34509">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5CCAFCB" w:rsidR="00922E9E" w:rsidRDefault="00AF52E0" w:rsidP="00AF52E0">
      <w:pPr>
        <w:spacing w:after="120" w:line="240" w:lineRule="auto"/>
        <w:ind w:left="567" w:right="543"/>
        <w:rPr>
          <w:rFonts w:ascii="Arial" w:hAnsi="Arial" w:cs="Arial"/>
          <w:sz w:val="24"/>
          <w:szCs w:val="24"/>
        </w:rPr>
      </w:pPr>
      <w:r w:rsidRPr="00AF52E0">
        <w:rPr>
          <w:rFonts w:ascii="Arial" w:hAnsi="Arial" w:cs="Arial"/>
          <w:sz w:val="24"/>
          <w:szCs w:val="24"/>
        </w:rPr>
        <w:t>Internationalisation is reflected in the learning outcomes, content and assessment which include a focus on strategic theories and practice in both domestic and international business environments.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E6938">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E0FD" w14:textId="77777777" w:rsidR="00CE6938" w:rsidRDefault="00CE6938" w:rsidP="009A2D37">
      <w:pPr>
        <w:spacing w:after="0" w:line="240" w:lineRule="auto"/>
      </w:pPr>
      <w:r>
        <w:separator/>
      </w:r>
    </w:p>
  </w:endnote>
  <w:endnote w:type="continuationSeparator" w:id="0">
    <w:p w14:paraId="15093676" w14:textId="77777777" w:rsidR="00CE6938" w:rsidRDefault="00CE6938" w:rsidP="009A2D37">
      <w:pPr>
        <w:spacing w:after="0" w:line="240" w:lineRule="auto"/>
      </w:pPr>
      <w:r>
        <w:continuationSeparator/>
      </w:r>
    </w:p>
  </w:endnote>
  <w:endnote w:type="continuationNotice" w:id="1">
    <w:p w14:paraId="11C36D6A" w14:textId="77777777" w:rsidR="00CE6938" w:rsidRDefault="00CE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2D63" w14:textId="77777777" w:rsidR="00CE6938" w:rsidRDefault="00CE6938" w:rsidP="009A2D37">
      <w:pPr>
        <w:spacing w:after="0" w:line="240" w:lineRule="auto"/>
      </w:pPr>
      <w:r>
        <w:separator/>
      </w:r>
    </w:p>
  </w:footnote>
  <w:footnote w:type="continuationSeparator" w:id="0">
    <w:p w14:paraId="2B51012D" w14:textId="77777777" w:rsidR="00CE6938" w:rsidRDefault="00CE6938" w:rsidP="009A2D37">
      <w:pPr>
        <w:spacing w:after="0" w:line="240" w:lineRule="auto"/>
      </w:pPr>
      <w:r>
        <w:continuationSeparator/>
      </w:r>
    </w:p>
  </w:footnote>
  <w:footnote w:type="continuationNotice" w:id="1">
    <w:p w14:paraId="646A5A09" w14:textId="77777777" w:rsidR="00CE6938" w:rsidRDefault="00CE6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6BE"/>
    <w:multiLevelType w:val="hybridMultilevel"/>
    <w:tmpl w:val="9DE60E46"/>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9B7E9E7E">
      <w:numFmt w:val="bullet"/>
      <w:lvlText w:val="•"/>
      <w:lvlJc w:val="left"/>
      <w:pPr>
        <w:ind w:left="2547" w:hanging="360"/>
      </w:pPr>
      <w:rPr>
        <w:rFonts w:ascii="Arial" w:eastAsiaTheme="minorEastAsia"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2F2040F"/>
    <w:multiLevelType w:val="hybridMultilevel"/>
    <w:tmpl w:val="AE80EA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4"/>
  </w:num>
  <w:num w:numId="4" w16cid:durableId="1714502269">
    <w:abstractNumId w:val="1"/>
  </w:num>
  <w:num w:numId="5" w16cid:durableId="1890141222">
    <w:abstractNumId w:val="10"/>
  </w:num>
  <w:num w:numId="6" w16cid:durableId="2048873839">
    <w:abstractNumId w:val="8"/>
  </w:num>
  <w:num w:numId="7" w16cid:durableId="1966422319">
    <w:abstractNumId w:val="11"/>
  </w:num>
  <w:num w:numId="8" w16cid:durableId="86853343">
    <w:abstractNumId w:val="9"/>
  </w:num>
  <w:num w:numId="9" w16cid:durableId="866991654">
    <w:abstractNumId w:val="5"/>
  </w:num>
  <w:num w:numId="10" w16cid:durableId="1310285383">
    <w:abstractNumId w:val="6"/>
  </w:num>
  <w:num w:numId="11" w16cid:durableId="1419400807">
    <w:abstractNumId w:val="12"/>
  </w:num>
  <w:num w:numId="12" w16cid:durableId="788090914">
    <w:abstractNumId w:val="7"/>
  </w:num>
  <w:num w:numId="13" w16cid:durableId="198392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53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AE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7A52"/>
    <w:rsid w:val="00A3007E"/>
    <w:rsid w:val="00A32048"/>
    <w:rsid w:val="00A41F06"/>
    <w:rsid w:val="00A50FD4"/>
    <w:rsid w:val="00A52DB4"/>
    <w:rsid w:val="00A618E1"/>
    <w:rsid w:val="00A629B9"/>
    <w:rsid w:val="00A65190"/>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52E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6938"/>
    <w:rsid w:val="00CE70E6"/>
    <w:rsid w:val="00CF0BCA"/>
    <w:rsid w:val="00CF2E1E"/>
    <w:rsid w:val="00D02E99"/>
    <w:rsid w:val="00D13357"/>
    <w:rsid w:val="00D13A13"/>
    <w:rsid w:val="00D2689A"/>
    <w:rsid w:val="00D34509"/>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4F04FE7-3C2C-4939-A605-5C6A8CEE09CD}"/>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Curtis Parker</cp:lastModifiedBy>
  <cp:revision>3</cp:revision>
  <cp:lastPrinted>2019-02-26T09:40:00Z</cp:lastPrinted>
  <dcterms:created xsi:type="dcterms:W3CDTF">2023-08-10T09:50:00Z</dcterms:created>
  <dcterms:modified xsi:type="dcterms:W3CDTF">2024-01-18T12:43:00Z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