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45E6F" w14:textId="77777777" w:rsidR="009A2D37" w:rsidRPr="00302082" w:rsidRDefault="009A2D37" w:rsidP="00696FF5">
      <w:pPr>
        <w:numPr>
          <w:ilvl w:val="0"/>
          <w:numId w:val="1"/>
        </w:numPr>
        <w:spacing w:after="120" w:line="240" w:lineRule="auto"/>
        <w:ind w:left="567" w:right="260" w:hanging="567"/>
        <w:jc w:val="both"/>
        <w:rPr>
          <w:rFonts w:ascii="Arial" w:hAnsi="Arial" w:cs="Arial"/>
          <w:b/>
        </w:rPr>
      </w:pPr>
      <w:bookmarkStart w:id="0" w:name="_GoBack"/>
      <w:bookmarkEnd w:id="0"/>
      <w:r w:rsidRPr="00302082">
        <w:rPr>
          <w:rFonts w:ascii="Arial" w:hAnsi="Arial" w:cs="Arial"/>
          <w:b/>
        </w:rPr>
        <w:t>Title of the module</w:t>
      </w:r>
    </w:p>
    <w:p w14:paraId="74078384" w14:textId="77777777" w:rsidR="0083074C" w:rsidRPr="007C1342" w:rsidRDefault="007C1342" w:rsidP="00696FF5">
      <w:pPr>
        <w:spacing w:after="120" w:line="240" w:lineRule="auto"/>
        <w:ind w:left="567" w:right="260"/>
        <w:jc w:val="both"/>
        <w:rPr>
          <w:rFonts w:ascii="Arial" w:hAnsi="Arial" w:cs="Arial"/>
          <w:iCs/>
        </w:rPr>
      </w:pPr>
      <w:r w:rsidRPr="007C1342">
        <w:rPr>
          <w:rFonts w:ascii="Arial" w:hAnsi="Arial" w:cs="Arial"/>
        </w:rPr>
        <w:t>ARCH5530 (AR553) – BA (Hons) Architecture Term Abroad</w:t>
      </w:r>
    </w:p>
    <w:p w14:paraId="5F4D4BD3" w14:textId="77777777" w:rsidR="009A2D37" w:rsidRPr="00302082" w:rsidRDefault="009A2D37" w:rsidP="00302082">
      <w:pPr>
        <w:spacing w:after="120" w:line="240" w:lineRule="auto"/>
        <w:ind w:left="426" w:right="260"/>
        <w:jc w:val="both"/>
        <w:rPr>
          <w:rFonts w:ascii="Arial" w:hAnsi="Arial" w:cs="Arial"/>
        </w:rPr>
      </w:pPr>
    </w:p>
    <w:p w14:paraId="3362B4A5" w14:textId="77777777" w:rsidR="009A2D37" w:rsidRPr="00302082" w:rsidRDefault="009A2D37" w:rsidP="00696FF5">
      <w:pPr>
        <w:numPr>
          <w:ilvl w:val="0"/>
          <w:numId w:val="1"/>
        </w:numPr>
        <w:spacing w:after="120" w:line="240" w:lineRule="auto"/>
        <w:ind w:left="567" w:right="260" w:hanging="567"/>
        <w:jc w:val="both"/>
        <w:rPr>
          <w:rFonts w:ascii="Arial" w:hAnsi="Arial" w:cs="Arial"/>
          <w:b/>
        </w:rPr>
      </w:pPr>
      <w:r w:rsidRPr="00302082">
        <w:rPr>
          <w:rFonts w:ascii="Arial" w:hAnsi="Arial" w:cs="Arial"/>
          <w:b/>
        </w:rPr>
        <w:t>School or partner institution which will be responsible for management of the module</w:t>
      </w:r>
    </w:p>
    <w:p w14:paraId="6CB8F35B" w14:textId="77777777" w:rsidR="009A2D37" w:rsidRPr="007C1342" w:rsidRDefault="007C1342" w:rsidP="00696FF5">
      <w:pPr>
        <w:spacing w:after="120" w:line="240" w:lineRule="auto"/>
        <w:ind w:left="567" w:right="260"/>
        <w:rPr>
          <w:rFonts w:ascii="Arial" w:hAnsi="Arial" w:cs="Arial"/>
          <w:iCs/>
        </w:rPr>
      </w:pPr>
      <w:r w:rsidRPr="007C1342">
        <w:rPr>
          <w:rFonts w:ascii="Arial" w:hAnsi="Arial" w:cs="Arial"/>
          <w:iCs/>
        </w:rPr>
        <w:t>Kent School of Architecture</w:t>
      </w:r>
    </w:p>
    <w:p w14:paraId="0E5CECF6" w14:textId="77777777" w:rsidR="009A2D37" w:rsidRPr="00302082" w:rsidRDefault="009A2D37" w:rsidP="00302082">
      <w:pPr>
        <w:spacing w:after="120" w:line="240" w:lineRule="auto"/>
        <w:ind w:left="426" w:right="260"/>
        <w:rPr>
          <w:rFonts w:ascii="Arial" w:hAnsi="Arial" w:cs="Arial"/>
          <w:i/>
          <w:iCs/>
        </w:rPr>
      </w:pPr>
    </w:p>
    <w:p w14:paraId="1DFB596F" w14:textId="77777777" w:rsidR="009A2D37" w:rsidRPr="00302082" w:rsidRDefault="00883204" w:rsidP="00696FF5">
      <w:pPr>
        <w:numPr>
          <w:ilvl w:val="0"/>
          <w:numId w:val="1"/>
        </w:numPr>
        <w:spacing w:after="120" w:line="240" w:lineRule="auto"/>
        <w:ind w:left="567" w:right="260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level of the module (</w:t>
      </w:r>
      <w:r w:rsidR="00D83563" w:rsidRPr="00302082">
        <w:rPr>
          <w:rFonts w:ascii="Arial" w:hAnsi="Arial" w:cs="Arial"/>
          <w:b/>
        </w:rPr>
        <w:t>Level</w:t>
      </w:r>
      <w:r w:rsidR="00441E76" w:rsidRPr="00302082">
        <w:rPr>
          <w:rFonts w:ascii="Arial" w:hAnsi="Arial" w:cs="Arial"/>
          <w:b/>
        </w:rPr>
        <w:t xml:space="preserve"> 4</w:t>
      </w:r>
      <w:r w:rsidR="001D0C7D" w:rsidRPr="00302082">
        <w:rPr>
          <w:rFonts w:ascii="Arial" w:hAnsi="Arial" w:cs="Arial"/>
          <w:b/>
        </w:rPr>
        <w:t xml:space="preserve">, </w:t>
      </w:r>
      <w:r w:rsidR="00441E76" w:rsidRPr="00302082">
        <w:rPr>
          <w:rFonts w:ascii="Arial" w:hAnsi="Arial" w:cs="Arial"/>
          <w:b/>
        </w:rPr>
        <w:t>Level 5</w:t>
      </w:r>
      <w:r w:rsidR="001D0C7D" w:rsidRPr="00302082">
        <w:rPr>
          <w:rFonts w:ascii="Arial" w:hAnsi="Arial" w:cs="Arial"/>
          <w:b/>
        </w:rPr>
        <w:t xml:space="preserve">, </w:t>
      </w:r>
      <w:r w:rsidR="00441E76" w:rsidRPr="00302082">
        <w:rPr>
          <w:rFonts w:ascii="Arial" w:hAnsi="Arial" w:cs="Arial"/>
          <w:b/>
        </w:rPr>
        <w:t>Level 6</w:t>
      </w:r>
      <w:r w:rsidR="001D0C7D" w:rsidRPr="00302082">
        <w:rPr>
          <w:rFonts w:ascii="Arial" w:hAnsi="Arial" w:cs="Arial"/>
          <w:b/>
        </w:rPr>
        <w:t xml:space="preserve"> or </w:t>
      </w:r>
      <w:r w:rsidR="00C612A8" w:rsidRPr="00302082">
        <w:rPr>
          <w:rFonts w:ascii="Arial" w:hAnsi="Arial" w:cs="Arial"/>
          <w:b/>
        </w:rPr>
        <w:t>L</w:t>
      </w:r>
      <w:r w:rsidR="00441E76" w:rsidRPr="00302082">
        <w:rPr>
          <w:rFonts w:ascii="Arial" w:hAnsi="Arial" w:cs="Arial"/>
          <w:b/>
        </w:rPr>
        <w:t>evel 7</w:t>
      </w:r>
      <w:r w:rsidR="009A2D37" w:rsidRPr="00302082">
        <w:rPr>
          <w:rFonts w:ascii="Arial" w:hAnsi="Arial" w:cs="Arial"/>
          <w:b/>
        </w:rPr>
        <w:t>)</w:t>
      </w:r>
    </w:p>
    <w:p w14:paraId="4EA2B66A" w14:textId="77777777" w:rsidR="009A2D37" w:rsidRPr="007C1342" w:rsidRDefault="007C1342" w:rsidP="00696FF5">
      <w:pPr>
        <w:spacing w:after="120" w:line="240" w:lineRule="auto"/>
        <w:ind w:left="567" w:right="260"/>
        <w:jc w:val="both"/>
        <w:rPr>
          <w:rFonts w:ascii="Arial" w:hAnsi="Arial" w:cs="Arial"/>
        </w:rPr>
      </w:pPr>
      <w:r w:rsidRPr="007C1342">
        <w:rPr>
          <w:rFonts w:ascii="Arial" w:hAnsi="Arial" w:cs="Arial"/>
        </w:rPr>
        <w:t xml:space="preserve">Level </w:t>
      </w:r>
      <w:proofErr w:type="gramStart"/>
      <w:r w:rsidRPr="007C1342">
        <w:rPr>
          <w:rFonts w:ascii="Arial" w:hAnsi="Arial" w:cs="Arial"/>
        </w:rPr>
        <w:t>5</w:t>
      </w:r>
      <w:proofErr w:type="gramEnd"/>
    </w:p>
    <w:p w14:paraId="533CD819" w14:textId="77777777" w:rsidR="009A2D37" w:rsidRPr="00302082" w:rsidRDefault="009A2D37" w:rsidP="00302082">
      <w:pPr>
        <w:spacing w:after="120" w:line="240" w:lineRule="auto"/>
        <w:ind w:left="426" w:right="260"/>
        <w:rPr>
          <w:rFonts w:ascii="Arial" w:hAnsi="Arial" w:cs="Arial"/>
          <w:i/>
          <w:iCs/>
        </w:rPr>
      </w:pPr>
    </w:p>
    <w:p w14:paraId="603B1DE2" w14:textId="77777777" w:rsidR="009A2D37" w:rsidRPr="00302082" w:rsidRDefault="009A2D37" w:rsidP="00696FF5">
      <w:pPr>
        <w:numPr>
          <w:ilvl w:val="0"/>
          <w:numId w:val="1"/>
        </w:numPr>
        <w:spacing w:after="120" w:line="240" w:lineRule="auto"/>
        <w:ind w:left="567" w:right="260" w:hanging="567"/>
        <w:jc w:val="both"/>
        <w:rPr>
          <w:rFonts w:ascii="Arial" w:hAnsi="Arial" w:cs="Arial"/>
          <w:b/>
        </w:rPr>
      </w:pPr>
      <w:r w:rsidRPr="00302082">
        <w:rPr>
          <w:rFonts w:ascii="Arial" w:hAnsi="Arial" w:cs="Arial"/>
          <w:b/>
        </w:rPr>
        <w:t xml:space="preserve">The number of credits and the ECTS value which the module represents </w:t>
      </w:r>
    </w:p>
    <w:p w14:paraId="56F64908" w14:textId="77777777" w:rsidR="009A2D37" w:rsidRPr="007C1342" w:rsidRDefault="007C1342" w:rsidP="00696FF5">
      <w:pPr>
        <w:pStyle w:val="NormalWeb"/>
        <w:spacing w:before="0" w:beforeAutospacing="0" w:after="120" w:afterAutospacing="0"/>
        <w:ind w:left="567" w:right="260"/>
        <w:rPr>
          <w:rFonts w:ascii="Arial" w:hAnsi="Arial" w:cs="Arial"/>
          <w:sz w:val="22"/>
          <w:szCs w:val="22"/>
        </w:rPr>
      </w:pPr>
      <w:r w:rsidRPr="007C1342">
        <w:rPr>
          <w:rFonts w:ascii="Arial" w:hAnsi="Arial" w:cs="Arial"/>
          <w:sz w:val="22"/>
          <w:szCs w:val="22"/>
        </w:rPr>
        <w:t>60</w:t>
      </w:r>
      <w:r w:rsidR="009A2D37" w:rsidRPr="007C1342">
        <w:rPr>
          <w:rFonts w:ascii="Arial" w:hAnsi="Arial" w:cs="Arial"/>
          <w:sz w:val="22"/>
          <w:szCs w:val="22"/>
        </w:rPr>
        <w:t xml:space="preserve"> credits (</w:t>
      </w:r>
      <w:r w:rsidRPr="007C1342">
        <w:rPr>
          <w:rFonts w:ascii="Arial" w:hAnsi="Arial" w:cs="Arial"/>
          <w:sz w:val="22"/>
          <w:szCs w:val="22"/>
        </w:rPr>
        <w:t>30</w:t>
      </w:r>
      <w:r w:rsidR="009A2D37" w:rsidRPr="007C1342">
        <w:rPr>
          <w:rFonts w:ascii="Arial" w:hAnsi="Arial" w:cs="Arial"/>
          <w:sz w:val="22"/>
          <w:szCs w:val="22"/>
        </w:rPr>
        <w:t xml:space="preserve"> ECTS)</w:t>
      </w:r>
    </w:p>
    <w:p w14:paraId="415CA141" w14:textId="77777777" w:rsidR="009A2D37" w:rsidRPr="00302082" w:rsidRDefault="009A2D37" w:rsidP="00302082">
      <w:pPr>
        <w:spacing w:after="120" w:line="240" w:lineRule="auto"/>
        <w:ind w:left="426" w:right="260"/>
        <w:rPr>
          <w:rFonts w:ascii="Arial" w:hAnsi="Arial" w:cs="Arial"/>
          <w:i/>
        </w:rPr>
      </w:pPr>
    </w:p>
    <w:p w14:paraId="19A3234A" w14:textId="77777777" w:rsidR="009A2D37" w:rsidRPr="00302082" w:rsidRDefault="009A2D37" w:rsidP="00696FF5">
      <w:pPr>
        <w:numPr>
          <w:ilvl w:val="0"/>
          <w:numId w:val="1"/>
        </w:numPr>
        <w:spacing w:after="120" w:line="240" w:lineRule="auto"/>
        <w:ind w:left="567" w:right="260" w:hanging="567"/>
        <w:jc w:val="both"/>
        <w:rPr>
          <w:rFonts w:ascii="Arial" w:hAnsi="Arial" w:cs="Arial"/>
          <w:b/>
        </w:rPr>
      </w:pPr>
      <w:r w:rsidRPr="00302082">
        <w:rPr>
          <w:rFonts w:ascii="Arial" w:hAnsi="Arial" w:cs="Arial"/>
          <w:b/>
        </w:rPr>
        <w:t>Which term(s) the module is to be taught in (or other teaching pattern)</w:t>
      </w:r>
    </w:p>
    <w:p w14:paraId="228D9E35" w14:textId="303EF76A" w:rsidR="009A2D37" w:rsidRPr="007C1342" w:rsidRDefault="007C1342" w:rsidP="00696FF5">
      <w:pPr>
        <w:spacing w:after="120" w:line="240" w:lineRule="auto"/>
        <w:ind w:left="567" w:right="260"/>
        <w:jc w:val="both"/>
        <w:rPr>
          <w:rFonts w:ascii="Arial" w:hAnsi="Arial" w:cs="Arial"/>
          <w:iCs/>
        </w:rPr>
      </w:pPr>
      <w:r w:rsidRPr="007C1342">
        <w:rPr>
          <w:rFonts w:ascii="Arial" w:hAnsi="Arial" w:cs="Arial"/>
          <w:iCs/>
        </w:rPr>
        <w:t xml:space="preserve">Autumn </w:t>
      </w:r>
      <w:r w:rsidR="00BE7223">
        <w:rPr>
          <w:rFonts w:ascii="Arial" w:hAnsi="Arial" w:cs="Arial"/>
          <w:iCs/>
        </w:rPr>
        <w:t>or</w:t>
      </w:r>
      <w:r w:rsidR="00BE7223" w:rsidRPr="007C1342">
        <w:rPr>
          <w:rFonts w:ascii="Arial" w:hAnsi="Arial" w:cs="Arial"/>
          <w:iCs/>
        </w:rPr>
        <w:t xml:space="preserve"> </w:t>
      </w:r>
      <w:proofErr w:type="gramStart"/>
      <w:r w:rsidRPr="007C1342">
        <w:rPr>
          <w:rFonts w:ascii="Arial" w:hAnsi="Arial" w:cs="Arial"/>
          <w:iCs/>
        </w:rPr>
        <w:t>Spring</w:t>
      </w:r>
      <w:proofErr w:type="gramEnd"/>
    </w:p>
    <w:p w14:paraId="2DFB264E" w14:textId="77777777" w:rsidR="009A2D37" w:rsidRPr="00302082" w:rsidRDefault="009A2D37" w:rsidP="00302082">
      <w:pPr>
        <w:spacing w:after="120" w:line="240" w:lineRule="auto"/>
        <w:ind w:left="426" w:right="260"/>
        <w:rPr>
          <w:rFonts w:ascii="Arial" w:hAnsi="Arial" w:cs="Arial"/>
          <w:i/>
          <w:iCs/>
        </w:rPr>
      </w:pPr>
    </w:p>
    <w:p w14:paraId="16F94A04" w14:textId="77777777" w:rsidR="009A2D37" w:rsidRPr="00302082" w:rsidRDefault="009A2D37" w:rsidP="00696FF5">
      <w:pPr>
        <w:numPr>
          <w:ilvl w:val="0"/>
          <w:numId w:val="1"/>
        </w:numPr>
        <w:spacing w:after="120" w:line="240" w:lineRule="auto"/>
        <w:ind w:left="567" w:right="260" w:hanging="567"/>
        <w:jc w:val="both"/>
        <w:rPr>
          <w:rFonts w:ascii="Arial" w:hAnsi="Arial" w:cs="Arial"/>
          <w:b/>
        </w:rPr>
      </w:pPr>
      <w:r w:rsidRPr="00302082">
        <w:rPr>
          <w:rFonts w:ascii="Arial" w:hAnsi="Arial" w:cs="Arial"/>
          <w:b/>
        </w:rPr>
        <w:t>Prerequisite and co-requisite modules</w:t>
      </w:r>
    </w:p>
    <w:p w14:paraId="74994076" w14:textId="77777777" w:rsidR="009A2D37" w:rsidRPr="007C1342" w:rsidRDefault="007C1342" w:rsidP="00696FF5">
      <w:pPr>
        <w:spacing w:after="120" w:line="240" w:lineRule="auto"/>
        <w:ind w:left="567" w:right="260"/>
        <w:rPr>
          <w:rFonts w:ascii="Arial" w:hAnsi="Arial" w:cs="Arial"/>
          <w:iCs/>
        </w:rPr>
      </w:pPr>
      <w:r w:rsidRPr="007C1342">
        <w:rPr>
          <w:rFonts w:ascii="Arial" w:hAnsi="Arial" w:cs="Arial"/>
          <w:iCs/>
        </w:rPr>
        <w:t>None</w:t>
      </w:r>
    </w:p>
    <w:p w14:paraId="364AD3DF" w14:textId="77777777" w:rsidR="009A2D37" w:rsidRPr="00302082" w:rsidRDefault="009A2D37" w:rsidP="00302082">
      <w:pPr>
        <w:spacing w:after="120" w:line="240" w:lineRule="auto"/>
        <w:ind w:left="426" w:right="260"/>
        <w:rPr>
          <w:rFonts w:ascii="Arial" w:hAnsi="Arial" w:cs="Arial"/>
          <w:i/>
          <w:iCs/>
        </w:rPr>
      </w:pPr>
    </w:p>
    <w:p w14:paraId="6FAEE627" w14:textId="77777777" w:rsidR="009A2D37" w:rsidRPr="00302082" w:rsidRDefault="009A2D37" w:rsidP="00696FF5">
      <w:pPr>
        <w:numPr>
          <w:ilvl w:val="0"/>
          <w:numId w:val="1"/>
        </w:numPr>
        <w:spacing w:after="120" w:line="240" w:lineRule="auto"/>
        <w:ind w:left="567" w:right="260" w:hanging="567"/>
        <w:jc w:val="both"/>
        <w:rPr>
          <w:rFonts w:ascii="Arial" w:hAnsi="Arial" w:cs="Arial"/>
          <w:b/>
        </w:rPr>
      </w:pPr>
      <w:r w:rsidRPr="00302082">
        <w:rPr>
          <w:rFonts w:ascii="Arial" w:hAnsi="Arial" w:cs="Arial"/>
          <w:b/>
        </w:rPr>
        <w:t>The programmes of study to which the module contributes</w:t>
      </w:r>
    </w:p>
    <w:p w14:paraId="23C065B3" w14:textId="78D3E47D" w:rsidR="00B9109B" w:rsidRPr="00DB7A6C" w:rsidRDefault="007C1342" w:rsidP="00696FF5">
      <w:pPr>
        <w:spacing w:after="120" w:line="240" w:lineRule="auto"/>
        <w:ind w:left="567" w:right="260"/>
        <w:rPr>
          <w:rFonts w:ascii="Arial" w:hAnsi="Arial" w:cs="Arial"/>
          <w:iCs/>
        </w:rPr>
      </w:pPr>
      <w:r w:rsidRPr="00DB7A6C">
        <w:rPr>
          <w:rFonts w:ascii="Arial" w:hAnsi="Arial" w:cs="Arial"/>
          <w:iCs/>
        </w:rPr>
        <w:t>BA (Hons)</w:t>
      </w:r>
      <w:r w:rsidR="00DB7A6C" w:rsidRPr="00DB7A6C">
        <w:rPr>
          <w:rFonts w:ascii="Arial" w:hAnsi="Arial" w:cs="Arial"/>
          <w:iCs/>
        </w:rPr>
        <w:t xml:space="preserve"> Architecture</w:t>
      </w:r>
    </w:p>
    <w:p w14:paraId="270A3D80" w14:textId="77777777" w:rsidR="009A2D37" w:rsidRPr="00302082" w:rsidRDefault="009A2D37" w:rsidP="00302082">
      <w:pPr>
        <w:spacing w:after="120" w:line="240" w:lineRule="auto"/>
        <w:ind w:left="426" w:right="260"/>
        <w:rPr>
          <w:rFonts w:ascii="Arial" w:hAnsi="Arial" w:cs="Arial"/>
          <w:i/>
          <w:iCs/>
        </w:rPr>
      </w:pPr>
    </w:p>
    <w:p w14:paraId="4EE61730" w14:textId="39565246" w:rsidR="009A2D37" w:rsidRPr="00302082" w:rsidRDefault="009A2D37" w:rsidP="00696FF5">
      <w:pPr>
        <w:numPr>
          <w:ilvl w:val="0"/>
          <w:numId w:val="1"/>
        </w:numPr>
        <w:spacing w:after="120" w:line="240" w:lineRule="auto"/>
        <w:ind w:left="567" w:right="260" w:hanging="567"/>
        <w:rPr>
          <w:rFonts w:ascii="Arial" w:hAnsi="Arial" w:cs="Arial"/>
          <w:b/>
        </w:rPr>
      </w:pPr>
      <w:r w:rsidRPr="00302082">
        <w:rPr>
          <w:rFonts w:ascii="Arial" w:hAnsi="Arial" w:cs="Arial"/>
          <w:b/>
        </w:rPr>
        <w:t>The intended subject specific learning outcomes</w:t>
      </w:r>
      <w:r w:rsidR="00C729D7" w:rsidRPr="00302082">
        <w:rPr>
          <w:rFonts w:ascii="Arial" w:hAnsi="Arial" w:cs="Arial"/>
          <w:b/>
        </w:rPr>
        <w:t>.</w:t>
      </w:r>
      <w:r w:rsidR="00C729D7" w:rsidRPr="00302082">
        <w:rPr>
          <w:rFonts w:ascii="Arial" w:hAnsi="Arial" w:cs="Arial"/>
          <w:b/>
        </w:rPr>
        <w:br/>
      </w:r>
    </w:p>
    <w:p w14:paraId="4B4B2A5C" w14:textId="1E344F18" w:rsidR="00DB7A6C" w:rsidRPr="00DB7A6C" w:rsidRDefault="00BE7223" w:rsidP="00DB7A6C">
      <w:pPr>
        <w:pStyle w:val="ListParagraph"/>
        <w:numPr>
          <w:ilvl w:val="1"/>
          <w:numId w:val="11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To</w:t>
      </w:r>
      <w:r w:rsidR="00DB7A6C">
        <w:rPr>
          <w:rFonts w:ascii="Arial" w:hAnsi="Arial" w:cs="Arial"/>
        </w:rPr>
        <w:t xml:space="preserve"> </w:t>
      </w:r>
      <w:r w:rsidR="00DB7A6C" w:rsidRPr="00DB7A6C">
        <w:rPr>
          <w:rFonts w:ascii="Arial" w:hAnsi="Arial" w:cs="Arial"/>
        </w:rPr>
        <w:t xml:space="preserve">acquire a broader, international and </w:t>
      </w:r>
      <w:proofErr w:type="spellStart"/>
      <w:r w:rsidR="00DB7A6C" w:rsidRPr="00DB7A6C">
        <w:rPr>
          <w:rFonts w:ascii="Arial" w:hAnsi="Arial" w:cs="Arial"/>
        </w:rPr>
        <w:t>interculturally</w:t>
      </w:r>
      <w:proofErr w:type="spellEnd"/>
      <w:r w:rsidR="00DB7A6C" w:rsidRPr="00DB7A6C">
        <w:rPr>
          <w:rFonts w:ascii="Arial" w:hAnsi="Arial" w:cs="Arial"/>
        </w:rPr>
        <w:t xml:space="preserve"> informed understanding of architecture </w:t>
      </w:r>
    </w:p>
    <w:p w14:paraId="5BB21F37" w14:textId="482CAF8A" w:rsidR="00DB7A6C" w:rsidRPr="00DB7A6C" w:rsidRDefault="00BE7223" w:rsidP="00DB7A6C">
      <w:pPr>
        <w:pStyle w:val="ListParagraph"/>
        <w:numPr>
          <w:ilvl w:val="1"/>
          <w:numId w:val="11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To</w:t>
      </w:r>
      <w:r w:rsidR="00DB7A6C" w:rsidRPr="00DB7A6C">
        <w:rPr>
          <w:rFonts w:ascii="Arial" w:hAnsi="Arial" w:cs="Arial"/>
        </w:rPr>
        <w:t xml:space="preserve"> experience different cultural approaches to learning, study of architecture and academic development</w:t>
      </w:r>
    </w:p>
    <w:p w14:paraId="76CBC509" w14:textId="54D96681" w:rsidR="00DB7A6C" w:rsidRPr="00DB7A6C" w:rsidRDefault="00BE7223" w:rsidP="00DB7A6C">
      <w:pPr>
        <w:pStyle w:val="ListParagraph"/>
        <w:numPr>
          <w:ilvl w:val="1"/>
          <w:numId w:val="11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To</w:t>
      </w:r>
      <w:r w:rsidR="00DB7A6C">
        <w:rPr>
          <w:rFonts w:ascii="Arial" w:hAnsi="Arial" w:cs="Arial"/>
        </w:rPr>
        <w:t xml:space="preserve"> acquire</w:t>
      </w:r>
      <w:r w:rsidR="00DB7A6C" w:rsidRPr="00DB7A6C">
        <w:rPr>
          <w:rFonts w:ascii="Arial" w:hAnsi="Arial" w:cs="Arial"/>
        </w:rPr>
        <w:t xml:space="preserve"> intercultural competence, cross-cultural literacy, and to practice foreign-language skills as applicable if non-English speaking/teaching partner institutes.</w:t>
      </w:r>
    </w:p>
    <w:p w14:paraId="4D58C1A8" w14:textId="77777777" w:rsidR="00DB7A6C" w:rsidRPr="00302082" w:rsidRDefault="00DB7A6C" w:rsidP="00C57028">
      <w:pPr>
        <w:spacing w:after="120" w:line="240" w:lineRule="auto"/>
        <w:ind w:left="567" w:right="260"/>
        <w:rPr>
          <w:rFonts w:ascii="Arial" w:hAnsi="Arial" w:cs="Arial"/>
          <w:i/>
        </w:rPr>
      </w:pPr>
    </w:p>
    <w:p w14:paraId="67E92957" w14:textId="57EEF30A" w:rsidR="00C729D7" w:rsidRPr="00302082" w:rsidRDefault="009A2D37" w:rsidP="00696FF5">
      <w:pPr>
        <w:numPr>
          <w:ilvl w:val="0"/>
          <w:numId w:val="1"/>
        </w:numPr>
        <w:spacing w:after="120" w:line="240" w:lineRule="auto"/>
        <w:ind w:left="567" w:right="260" w:hanging="567"/>
        <w:rPr>
          <w:rFonts w:ascii="Arial" w:hAnsi="Arial" w:cs="Arial"/>
          <w:b/>
        </w:rPr>
      </w:pPr>
      <w:r w:rsidRPr="00302082">
        <w:rPr>
          <w:rFonts w:ascii="Arial" w:hAnsi="Arial" w:cs="Arial"/>
          <w:b/>
        </w:rPr>
        <w:t>The intended generic learning outcomes</w:t>
      </w:r>
      <w:r w:rsidR="00BE7223">
        <w:rPr>
          <w:rFonts w:ascii="Arial" w:hAnsi="Arial" w:cs="Arial"/>
          <w:b/>
        </w:rPr>
        <w:t>.</w:t>
      </w:r>
      <w:r w:rsidR="00BE7223">
        <w:rPr>
          <w:rFonts w:ascii="Arial" w:hAnsi="Arial" w:cs="Arial"/>
          <w:b/>
        </w:rPr>
        <w:br/>
      </w:r>
    </w:p>
    <w:p w14:paraId="70FC6935" w14:textId="004794C4" w:rsidR="00DB7A6C" w:rsidRPr="00DB7A6C" w:rsidRDefault="00BE7223" w:rsidP="00DB7A6C">
      <w:pPr>
        <w:pStyle w:val="ListParagraph"/>
        <w:numPr>
          <w:ilvl w:val="1"/>
          <w:numId w:val="12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DB7A6C" w:rsidRPr="00DB7A6C">
        <w:rPr>
          <w:rFonts w:ascii="Arial" w:hAnsi="Arial" w:cs="Arial"/>
        </w:rPr>
        <w:t xml:space="preserve">nhanced, </w:t>
      </w:r>
      <w:proofErr w:type="spellStart"/>
      <w:r w:rsidR="00DB7A6C" w:rsidRPr="00DB7A6C">
        <w:rPr>
          <w:rFonts w:ascii="Arial" w:hAnsi="Arial" w:cs="Arial"/>
        </w:rPr>
        <w:t>interculturally</w:t>
      </w:r>
      <w:proofErr w:type="spellEnd"/>
      <w:r w:rsidR="00DB7A6C" w:rsidRPr="00DB7A6C">
        <w:rPr>
          <w:rFonts w:ascii="Arial" w:hAnsi="Arial" w:cs="Arial"/>
        </w:rPr>
        <w:t xml:space="preserve"> sensitive communication and interpersonal skills </w:t>
      </w:r>
    </w:p>
    <w:p w14:paraId="48C835F6" w14:textId="58BEAE3C" w:rsidR="00DB7A6C" w:rsidRPr="00DB7A6C" w:rsidRDefault="00BE7223" w:rsidP="00DB7A6C">
      <w:pPr>
        <w:pStyle w:val="ListParagraph"/>
        <w:numPr>
          <w:ilvl w:val="1"/>
          <w:numId w:val="12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DB7A6C">
        <w:rPr>
          <w:rFonts w:ascii="Arial" w:hAnsi="Arial" w:cs="Arial"/>
        </w:rPr>
        <w:t xml:space="preserve">nhanced </w:t>
      </w:r>
      <w:r w:rsidR="00DB7A6C" w:rsidRPr="00DB7A6C">
        <w:rPr>
          <w:rFonts w:ascii="Arial" w:hAnsi="Arial" w:cs="Arial"/>
        </w:rPr>
        <w:t>ability for self-management, flexibility, focus and project management</w:t>
      </w:r>
    </w:p>
    <w:p w14:paraId="1D36FBF3" w14:textId="77777777" w:rsidR="009A2D37" w:rsidRDefault="009A2D37" w:rsidP="00302082">
      <w:pPr>
        <w:pStyle w:val="Default"/>
        <w:spacing w:after="120"/>
        <w:ind w:left="720" w:right="260"/>
        <w:rPr>
          <w:color w:val="auto"/>
          <w:sz w:val="22"/>
          <w:szCs w:val="22"/>
        </w:rPr>
      </w:pPr>
    </w:p>
    <w:p w14:paraId="616C5059" w14:textId="77777777" w:rsidR="009A2D37" w:rsidRPr="00302082" w:rsidRDefault="009A2D37" w:rsidP="00696FF5">
      <w:pPr>
        <w:numPr>
          <w:ilvl w:val="0"/>
          <w:numId w:val="1"/>
        </w:numPr>
        <w:spacing w:after="120" w:line="240" w:lineRule="auto"/>
        <w:ind w:left="567" w:right="260" w:hanging="567"/>
        <w:jc w:val="both"/>
        <w:rPr>
          <w:rFonts w:ascii="Arial" w:hAnsi="Arial" w:cs="Arial"/>
          <w:b/>
        </w:rPr>
      </w:pPr>
      <w:r w:rsidRPr="00302082">
        <w:rPr>
          <w:rFonts w:ascii="Arial" w:hAnsi="Arial" w:cs="Arial"/>
          <w:b/>
        </w:rPr>
        <w:t>A synopsis of the curriculum</w:t>
      </w:r>
    </w:p>
    <w:p w14:paraId="59EC11C6" w14:textId="58089267" w:rsidR="00A955B6" w:rsidRDefault="00DB7A6C" w:rsidP="00DD2C9B">
      <w:pPr>
        <w:ind w:left="567"/>
        <w:rPr>
          <w:rFonts w:ascii="Arial" w:hAnsi="Arial" w:cs="Arial"/>
          <w:snapToGrid w:val="0"/>
        </w:rPr>
      </w:pPr>
      <w:r w:rsidRPr="00DD2C9B">
        <w:rPr>
          <w:rFonts w:ascii="Arial" w:hAnsi="Arial" w:cs="Arial"/>
          <w:snapToGrid w:val="0"/>
        </w:rPr>
        <w:t>An architecture study abroad committee will make selections and recommendations for study abroad based on the merit of the applicant following submission of an application supported by a portfolio and transcripts.</w:t>
      </w:r>
      <w:r w:rsidR="00A955B6">
        <w:rPr>
          <w:rFonts w:ascii="Arial" w:hAnsi="Arial" w:cs="Arial"/>
          <w:snapToGrid w:val="0"/>
        </w:rPr>
        <w:t xml:space="preserve"> </w:t>
      </w:r>
    </w:p>
    <w:p w14:paraId="02D92DEA" w14:textId="01C4B267" w:rsidR="00A955B6" w:rsidRDefault="00A955B6" w:rsidP="00DD2C9B">
      <w:pPr>
        <w:ind w:left="567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During the </w:t>
      </w:r>
      <w:proofErr w:type="gramStart"/>
      <w:r>
        <w:rPr>
          <w:rFonts w:ascii="Arial" w:hAnsi="Arial" w:cs="Arial"/>
          <w:snapToGrid w:val="0"/>
        </w:rPr>
        <w:t>placement</w:t>
      </w:r>
      <w:proofErr w:type="gramEnd"/>
      <w:r>
        <w:rPr>
          <w:rFonts w:ascii="Arial" w:hAnsi="Arial" w:cs="Arial"/>
          <w:snapToGrid w:val="0"/>
        </w:rPr>
        <w:t xml:space="preserve"> students will be enrolled on this dedicated BA Term Abroad module.</w:t>
      </w:r>
    </w:p>
    <w:p w14:paraId="35E5AA71" w14:textId="2937BA1F" w:rsidR="00DB7A6C" w:rsidRPr="00DD2C9B" w:rsidRDefault="00A955B6" w:rsidP="00DD2C9B">
      <w:pPr>
        <w:ind w:left="567"/>
        <w:rPr>
          <w:rFonts w:ascii="Arial" w:hAnsi="Arial" w:cs="Arial"/>
          <w:snapToGrid w:val="0"/>
        </w:rPr>
      </w:pPr>
      <w:r w:rsidRPr="008511A3">
        <w:rPr>
          <w:rFonts w:ascii="Arial" w:hAnsi="Arial" w:cs="Arial"/>
        </w:rPr>
        <w:t xml:space="preserve">Spending a term as full-time student at an overseas university, students will follow teaching and tuition in architecture. The curriculum will vary according to the partner institutions. Additionally, </w:t>
      </w:r>
      <w:r w:rsidRPr="008511A3">
        <w:rPr>
          <w:rFonts w:ascii="Arial" w:hAnsi="Arial" w:cs="Arial"/>
        </w:rPr>
        <w:lastRenderedPageBreak/>
        <w:t xml:space="preserve">students </w:t>
      </w:r>
      <w:proofErr w:type="gramStart"/>
      <w:r w:rsidRPr="008511A3">
        <w:rPr>
          <w:rFonts w:ascii="Arial" w:hAnsi="Arial" w:cs="Arial"/>
        </w:rPr>
        <w:t>will usually be offered</w:t>
      </w:r>
      <w:proofErr w:type="gramEnd"/>
      <w:r w:rsidRPr="008511A3">
        <w:rPr>
          <w:rFonts w:ascii="Arial" w:hAnsi="Arial" w:cs="Arial"/>
        </w:rPr>
        <w:t xml:space="preserve"> to take language classes and/or courses on the culture of the host country.</w:t>
      </w:r>
    </w:p>
    <w:p w14:paraId="46A38D1A" w14:textId="77777777" w:rsidR="009A2D37" w:rsidRPr="00302082" w:rsidRDefault="009A2D37" w:rsidP="00302082">
      <w:pPr>
        <w:spacing w:after="120" w:line="240" w:lineRule="auto"/>
        <w:ind w:left="426" w:right="260"/>
        <w:rPr>
          <w:rFonts w:ascii="Arial" w:hAnsi="Arial" w:cs="Arial"/>
          <w:i/>
          <w:iCs/>
        </w:rPr>
      </w:pPr>
    </w:p>
    <w:p w14:paraId="0B6900FB" w14:textId="77777777" w:rsidR="009A2D37" w:rsidRPr="00302082" w:rsidRDefault="00883204" w:rsidP="00696FF5">
      <w:pPr>
        <w:numPr>
          <w:ilvl w:val="0"/>
          <w:numId w:val="1"/>
        </w:numPr>
        <w:spacing w:after="120" w:line="240" w:lineRule="auto"/>
        <w:ind w:left="567" w:right="260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Reading l</w:t>
      </w:r>
      <w:r w:rsidR="009A2D37" w:rsidRPr="00302082">
        <w:rPr>
          <w:rFonts w:ascii="Arial" w:hAnsi="Arial" w:cs="Arial"/>
          <w:b/>
        </w:rPr>
        <w:t xml:space="preserve">ist </w:t>
      </w:r>
      <w:r w:rsidR="00274ED7" w:rsidRPr="00302082">
        <w:rPr>
          <w:rFonts w:ascii="Arial" w:hAnsi="Arial" w:cs="Arial"/>
          <w:b/>
        </w:rPr>
        <w:t>(Indicative list, current at time of publication. Reading lists will be published annually)</w:t>
      </w:r>
    </w:p>
    <w:p w14:paraId="0044B5DC" w14:textId="472BB415" w:rsidR="00DD2C9B" w:rsidRPr="00DD2C9B" w:rsidRDefault="00DD2C9B" w:rsidP="00DD2C9B">
      <w:pPr>
        <w:spacing w:after="120"/>
        <w:ind w:left="567"/>
        <w:rPr>
          <w:rFonts w:ascii="Arial" w:hAnsi="Arial" w:cs="Arial"/>
        </w:rPr>
      </w:pPr>
      <w:proofErr w:type="spellStart"/>
      <w:r w:rsidRPr="00DD2C9B">
        <w:rPr>
          <w:rFonts w:ascii="Arial" w:hAnsi="Arial" w:cs="Arial"/>
        </w:rPr>
        <w:t>Hejduk</w:t>
      </w:r>
      <w:proofErr w:type="spellEnd"/>
      <w:r w:rsidRPr="00DD2C9B">
        <w:rPr>
          <w:rFonts w:ascii="Arial" w:hAnsi="Arial" w:cs="Arial"/>
        </w:rPr>
        <w:t xml:space="preserve">, John (Ed). (1988). </w:t>
      </w:r>
      <w:r w:rsidRPr="00DD2C9B">
        <w:rPr>
          <w:rFonts w:ascii="Arial" w:hAnsi="Arial" w:cs="Arial"/>
          <w:i/>
        </w:rPr>
        <w:t xml:space="preserve">Education of an Architect: Irwin </w:t>
      </w:r>
      <w:proofErr w:type="spellStart"/>
      <w:r w:rsidRPr="00DD2C9B">
        <w:rPr>
          <w:rFonts w:ascii="Arial" w:hAnsi="Arial" w:cs="Arial"/>
          <w:i/>
        </w:rPr>
        <w:t>S.Chanin</w:t>
      </w:r>
      <w:proofErr w:type="spellEnd"/>
      <w:r w:rsidRPr="00DD2C9B">
        <w:rPr>
          <w:rFonts w:ascii="Arial" w:hAnsi="Arial" w:cs="Arial"/>
          <w:i/>
        </w:rPr>
        <w:t xml:space="preserve"> School of Architecture of the Cooper Union</w:t>
      </w:r>
      <w:r>
        <w:rPr>
          <w:rFonts w:ascii="Arial" w:hAnsi="Arial" w:cs="Arial"/>
        </w:rPr>
        <w:t>.</w:t>
      </w:r>
      <w:r w:rsidRPr="00DD2C9B">
        <w:rPr>
          <w:rFonts w:ascii="Arial" w:hAnsi="Arial" w:cs="Arial"/>
        </w:rPr>
        <w:t xml:space="preserve"> Rizzoli International Publications</w:t>
      </w:r>
      <w:r w:rsidRPr="00DD2C9B">
        <w:rPr>
          <w:rFonts w:ascii="Arial" w:hAnsi="Arial" w:cs="Arial"/>
        </w:rPr>
        <w:br/>
        <w:t xml:space="preserve">Lawson, Bryan. (2005). </w:t>
      </w:r>
      <w:r w:rsidRPr="00DD2C9B">
        <w:rPr>
          <w:rFonts w:ascii="Arial" w:hAnsi="Arial" w:cs="Arial"/>
          <w:i/>
        </w:rPr>
        <w:t>How Designers Think</w:t>
      </w:r>
      <w:r>
        <w:rPr>
          <w:rFonts w:ascii="Arial" w:hAnsi="Arial" w:cs="Arial"/>
        </w:rPr>
        <w:t>.</w:t>
      </w:r>
      <w:r w:rsidRPr="00DD2C9B">
        <w:rPr>
          <w:rFonts w:ascii="Arial" w:hAnsi="Arial" w:cs="Arial"/>
        </w:rPr>
        <w:t xml:space="preserve"> Architectural Press</w:t>
      </w:r>
      <w:r w:rsidRPr="00DD2C9B">
        <w:rPr>
          <w:rFonts w:ascii="Arial" w:hAnsi="Arial" w:cs="Arial"/>
        </w:rPr>
        <w:br/>
        <w:t xml:space="preserve">Rasmussen, Steen </w:t>
      </w:r>
      <w:proofErr w:type="spellStart"/>
      <w:r w:rsidRPr="00DD2C9B">
        <w:rPr>
          <w:rFonts w:ascii="Arial" w:hAnsi="Arial" w:cs="Arial"/>
        </w:rPr>
        <w:t>Eiler</w:t>
      </w:r>
      <w:proofErr w:type="spellEnd"/>
      <w:r w:rsidRPr="00DD2C9B">
        <w:rPr>
          <w:rFonts w:ascii="Arial" w:hAnsi="Arial" w:cs="Arial"/>
        </w:rPr>
        <w:t xml:space="preserve">. (1962). </w:t>
      </w:r>
      <w:r w:rsidRPr="00DD2C9B">
        <w:rPr>
          <w:rFonts w:ascii="Arial" w:hAnsi="Arial" w:cs="Arial"/>
          <w:i/>
        </w:rPr>
        <w:t>Experiencing Architecture</w:t>
      </w:r>
      <w:r>
        <w:rPr>
          <w:rFonts w:ascii="Arial" w:hAnsi="Arial" w:cs="Arial"/>
        </w:rPr>
        <w:t>.</w:t>
      </w:r>
      <w:r w:rsidRPr="00DD2C9B">
        <w:rPr>
          <w:rFonts w:ascii="Arial" w:hAnsi="Arial" w:cs="Arial"/>
        </w:rPr>
        <w:t xml:space="preserve"> Cambridge, Mass: MIT    </w:t>
      </w:r>
      <w:r w:rsidRPr="00DD2C9B">
        <w:rPr>
          <w:rFonts w:ascii="Arial" w:hAnsi="Arial" w:cs="Arial"/>
        </w:rPr>
        <w:br/>
      </w:r>
      <w:proofErr w:type="spellStart"/>
      <w:r w:rsidRPr="00DD2C9B">
        <w:rPr>
          <w:rFonts w:ascii="Arial" w:hAnsi="Arial" w:cs="Arial"/>
        </w:rPr>
        <w:t>Sheil</w:t>
      </w:r>
      <w:proofErr w:type="spellEnd"/>
      <w:r w:rsidRPr="00DD2C9B">
        <w:rPr>
          <w:rFonts w:ascii="Arial" w:hAnsi="Arial" w:cs="Arial"/>
        </w:rPr>
        <w:t xml:space="preserve">, Bob (Ed). (2005). </w:t>
      </w:r>
      <w:r w:rsidRPr="00DD2C9B">
        <w:rPr>
          <w:rFonts w:ascii="Arial" w:hAnsi="Arial" w:cs="Arial"/>
          <w:i/>
        </w:rPr>
        <w:t>Design through Making</w:t>
      </w:r>
      <w:r>
        <w:rPr>
          <w:rFonts w:ascii="Arial" w:hAnsi="Arial" w:cs="Arial"/>
        </w:rPr>
        <w:t>.</w:t>
      </w:r>
      <w:r w:rsidRPr="00DD2C9B">
        <w:rPr>
          <w:rFonts w:ascii="Arial" w:hAnsi="Arial" w:cs="Arial"/>
        </w:rPr>
        <w:t xml:space="preserve"> John Wiley &amp; Sons</w:t>
      </w:r>
      <w:r w:rsidRPr="00DD2C9B">
        <w:rPr>
          <w:rFonts w:ascii="Arial" w:hAnsi="Arial" w:cs="Arial"/>
        </w:rPr>
        <w:br/>
        <w:t xml:space="preserve">Unwin, Simon. (2008). </w:t>
      </w:r>
      <w:r w:rsidRPr="00DD2C9B">
        <w:rPr>
          <w:rFonts w:ascii="Arial" w:hAnsi="Arial" w:cs="Arial"/>
          <w:i/>
        </w:rPr>
        <w:t>Analysing Architecture</w:t>
      </w:r>
      <w:r>
        <w:rPr>
          <w:rFonts w:ascii="Arial" w:hAnsi="Arial" w:cs="Arial"/>
        </w:rPr>
        <w:t>.</w:t>
      </w:r>
      <w:r w:rsidRPr="00DD2C9B">
        <w:rPr>
          <w:rFonts w:ascii="Arial" w:hAnsi="Arial" w:cs="Arial"/>
        </w:rPr>
        <w:t xml:space="preserve"> Routledge</w:t>
      </w:r>
    </w:p>
    <w:p w14:paraId="6DEC5E81" w14:textId="76EEDCE6" w:rsidR="009A2D37" w:rsidRDefault="00DD2C9B" w:rsidP="00DD2C9B">
      <w:pPr>
        <w:spacing w:after="120" w:line="240" w:lineRule="auto"/>
        <w:ind w:left="567" w:right="260"/>
        <w:jc w:val="both"/>
        <w:rPr>
          <w:rFonts w:ascii="Arial" w:hAnsi="Arial" w:cs="Arial"/>
        </w:rPr>
      </w:pPr>
      <w:r w:rsidRPr="00DD2C9B">
        <w:rPr>
          <w:rFonts w:ascii="Arial" w:hAnsi="Arial" w:cs="Arial"/>
        </w:rPr>
        <w:t>The International Study service in the University’s International Development Office provides information about host countries and host universities. Students will receive course-specific information, incl. reading lists, on their enrolment at the host university.</w:t>
      </w:r>
    </w:p>
    <w:p w14:paraId="449D6734" w14:textId="77777777" w:rsidR="00DD2C9B" w:rsidRPr="00DD2C9B" w:rsidRDefault="00DD2C9B" w:rsidP="00DD2C9B">
      <w:pPr>
        <w:spacing w:after="120" w:line="240" w:lineRule="auto"/>
        <w:ind w:left="567" w:right="260"/>
        <w:jc w:val="both"/>
        <w:rPr>
          <w:rFonts w:ascii="Arial" w:hAnsi="Arial" w:cs="Arial"/>
          <w:b/>
        </w:rPr>
      </w:pPr>
    </w:p>
    <w:p w14:paraId="1FF2748D" w14:textId="77777777" w:rsidR="00883204" w:rsidRPr="00883204" w:rsidRDefault="009A2D37" w:rsidP="00696FF5">
      <w:pPr>
        <w:numPr>
          <w:ilvl w:val="0"/>
          <w:numId w:val="1"/>
        </w:numPr>
        <w:spacing w:after="120" w:line="240" w:lineRule="auto"/>
        <w:ind w:left="567" w:right="260" w:hanging="567"/>
        <w:rPr>
          <w:rFonts w:ascii="Arial" w:hAnsi="Arial" w:cs="Arial"/>
          <w:i/>
          <w:iCs/>
        </w:rPr>
      </w:pPr>
      <w:r w:rsidRPr="00302082">
        <w:rPr>
          <w:rFonts w:ascii="Arial" w:hAnsi="Arial" w:cs="Arial"/>
          <w:b/>
        </w:rPr>
        <w:t>Learning</w:t>
      </w:r>
      <w:r w:rsidR="00883204">
        <w:rPr>
          <w:rFonts w:ascii="Arial" w:hAnsi="Arial" w:cs="Arial"/>
          <w:b/>
        </w:rPr>
        <w:t xml:space="preserve"> and t</w:t>
      </w:r>
      <w:r w:rsidR="006F3F8B" w:rsidRPr="00302082">
        <w:rPr>
          <w:rFonts w:ascii="Arial" w:hAnsi="Arial" w:cs="Arial"/>
          <w:b/>
        </w:rPr>
        <w:t>eaching m</w:t>
      </w:r>
      <w:r w:rsidRPr="00302082">
        <w:rPr>
          <w:rFonts w:ascii="Arial" w:hAnsi="Arial" w:cs="Arial"/>
          <w:b/>
        </w:rPr>
        <w:t>ethods</w:t>
      </w:r>
    </w:p>
    <w:p w14:paraId="45640D78" w14:textId="77777777" w:rsidR="00BE7223" w:rsidRPr="00BE7223" w:rsidRDefault="00BE7223" w:rsidP="00BE7223">
      <w:pPr>
        <w:spacing w:after="120" w:line="240" w:lineRule="auto"/>
        <w:ind w:left="567" w:right="260"/>
        <w:rPr>
          <w:rFonts w:ascii="Arial" w:hAnsi="Arial" w:cs="Arial"/>
        </w:rPr>
      </w:pPr>
      <w:r w:rsidRPr="00BE7223">
        <w:rPr>
          <w:rFonts w:ascii="Arial" w:hAnsi="Arial" w:cs="Arial"/>
        </w:rPr>
        <w:t>Learning and teaching modes will vary according to the country and institution attended. Inclusive of self-directed study, a total of 600 hours of study across a term or semester will be required for this module.</w:t>
      </w:r>
    </w:p>
    <w:p w14:paraId="06C56D7A" w14:textId="77777777" w:rsidR="009A2D37" w:rsidRPr="00302082" w:rsidRDefault="009A2D37" w:rsidP="00302082">
      <w:pPr>
        <w:spacing w:after="120" w:line="240" w:lineRule="auto"/>
        <w:ind w:left="426" w:right="260"/>
        <w:rPr>
          <w:rFonts w:ascii="Arial" w:hAnsi="Arial" w:cs="Arial"/>
          <w:i/>
          <w:iCs/>
        </w:rPr>
      </w:pPr>
    </w:p>
    <w:p w14:paraId="5F05A2E2" w14:textId="77777777" w:rsidR="00883204" w:rsidRPr="00883204" w:rsidRDefault="00EF4933" w:rsidP="00696FF5">
      <w:pPr>
        <w:numPr>
          <w:ilvl w:val="0"/>
          <w:numId w:val="1"/>
        </w:numPr>
        <w:spacing w:after="120" w:line="240" w:lineRule="auto"/>
        <w:ind w:left="567" w:right="260" w:hanging="567"/>
        <w:rPr>
          <w:rFonts w:ascii="Arial" w:hAnsi="Arial" w:cs="Arial"/>
          <w:i/>
          <w:iCs/>
        </w:rPr>
      </w:pPr>
      <w:r w:rsidRPr="00302082">
        <w:rPr>
          <w:rFonts w:ascii="Arial" w:hAnsi="Arial" w:cs="Arial"/>
          <w:b/>
        </w:rPr>
        <w:t>Assessment methods</w:t>
      </w:r>
    </w:p>
    <w:p w14:paraId="7646A675" w14:textId="77777777" w:rsidR="00696FF5" w:rsidRPr="00696FF5" w:rsidRDefault="00696FF5" w:rsidP="00696FF5">
      <w:pPr>
        <w:pStyle w:val="ListParagraph"/>
        <w:numPr>
          <w:ilvl w:val="1"/>
          <w:numId w:val="9"/>
        </w:numPr>
        <w:spacing w:after="120"/>
        <w:ind w:left="567" w:hanging="567"/>
        <w:rPr>
          <w:rFonts w:ascii="Arial" w:hAnsi="Arial" w:cs="Arial"/>
          <w:iCs/>
        </w:rPr>
      </w:pPr>
      <w:r w:rsidRPr="00696FF5">
        <w:rPr>
          <w:rFonts w:ascii="Arial" w:hAnsi="Arial" w:cs="Arial"/>
          <w:iCs/>
        </w:rPr>
        <w:t>Main assessment methods</w:t>
      </w:r>
    </w:p>
    <w:p w14:paraId="717C8CEF" w14:textId="77777777" w:rsidR="007217CB" w:rsidRPr="00BE7223" w:rsidRDefault="007217CB" w:rsidP="00BE7223">
      <w:pPr>
        <w:tabs>
          <w:tab w:val="left" w:pos="426"/>
        </w:tabs>
        <w:spacing w:after="0"/>
        <w:ind w:left="426"/>
        <w:rPr>
          <w:rFonts w:ascii="Arial" w:hAnsi="Arial" w:cs="Arial"/>
        </w:rPr>
      </w:pPr>
      <w:r w:rsidRPr="00BE7223">
        <w:rPr>
          <w:rFonts w:ascii="Arial" w:hAnsi="Arial" w:cs="Arial"/>
        </w:rPr>
        <w:t xml:space="preserve">The ‘BA (Hons) Architecture Study Abroad’ module contributes and </w:t>
      </w:r>
      <w:proofErr w:type="gramStart"/>
      <w:r w:rsidRPr="00BE7223">
        <w:rPr>
          <w:rFonts w:ascii="Arial" w:hAnsi="Arial" w:cs="Arial"/>
        </w:rPr>
        <w:t>is assessed</w:t>
      </w:r>
      <w:proofErr w:type="gramEnd"/>
      <w:r w:rsidRPr="00BE7223">
        <w:rPr>
          <w:rFonts w:ascii="Arial" w:hAnsi="Arial" w:cs="Arial"/>
        </w:rPr>
        <w:t xml:space="preserve"> in line with </w:t>
      </w:r>
      <w:proofErr w:type="spellStart"/>
      <w:r w:rsidRPr="00BE7223">
        <w:rPr>
          <w:rFonts w:ascii="Arial" w:hAnsi="Arial" w:cs="Arial"/>
        </w:rPr>
        <w:t>UoK</w:t>
      </w:r>
      <w:proofErr w:type="spellEnd"/>
      <w:r w:rsidRPr="00BE7223">
        <w:rPr>
          <w:rFonts w:ascii="Arial" w:hAnsi="Arial" w:cs="Arial"/>
        </w:rPr>
        <w:t xml:space="preserve"> Conventions for Classifications of Awards Guidance for Examiners: Classification of Awards. </w:t>
      </w:r>
    </w:p>
    <w:p w14:paraId="3A43D654" w14:textId="74E17190" w:rsidR="007217CB" w:rsidRPr="00BE7223" w:rsidRDefault="006F267A" w:rsidP="00BE7223">
      <w:pPr>
        <w:ind w:firstLine="426"/>
        <w:rPr>
          <w:rFonts w:ascii="Arial" w:hAnsi="Arial" w:cs="Arial"/>
          <w:snapToGrid w:val="0"/>
        </w:rPr>
      </w:pPr>
      <w:hyperlink r:id="rId8" w:history="1">
        <w:r w:rsidR="007217CB" w:rsidRPr="00BE7223">
          <w:rPr>
            <w:rFonts w:ascii="Arial" w:hAnsi="Arial" w:cs="Arial"/>
            <w:snapToGrid w:val="0"/>
            <w:color w:val="0000FF"/>
            <w:u w:val="single"/>
          </w:rPr>
          <w:t>http://www.kent.ac.uk/teaching/qa/credit-framework/guide-examiners.html</w:t>
        </w:r>
      </w:hyperlink>
    </w:p>
    <w:p w14:paraId="57822C7B" w14:textId="772A2429" w:rsidR="007217CB" w:rsidRPr="00BE7223" w:rsidRDefault="007217CB" w:rsidP="00BE7223">
      <w:pPr>
        <w:tabs>
          <w:tab w:val="left" w:pos="426"/>
        </w:tabs>
        <w:spacing w:after="0"/>
        <w:ind w:left="426"/>
        <w:rPr>
          <w:rFonts w:ascii="Arial" w:hAnsi="Arial" w:cs="Arial"/>
        </w:rPr>
      </w:pPr>
      <w:r w:rsidRPr="00BE7223">
        <w:rPr>
          <w:rFonts w:ascii="Arial" w:hAnsi="Arial" w:cs="Arial"/>
        </w:rPr>
        <w:t xml:space="preserve">For students taking a term aboard in Stage 2 the placement </w:t>
      </w:r>
      <w:proofErr w:type="gramStart"/>
      <w:r w:rsidRPr="00BE7223">
        <w:rPr>
          <w:rFonts w:ascii="Arial" w:hAnsi="Arial" w:cs="Arial"/>
        </w:rPr>
        <w:t>will be graded</w:t>
      </w:r>
      <w:proofErr w:type="gramEnd"/>
      <w:r w:rsidRPr="00BE7223">
        <w:rPr>
          <w:rFonts w:ascii="Arial" w:hAnsi="Arial" w:cs="Arial"/>
        </w:rPr>
        <w:t xml:space="preserve"> on a pass/fail basis as documented by the transcript from the host institution and will therefore be zero-weighted with respect to classification. Modules totalling at least 60 credits (30ECTS or 600 hours) must be undertaken.</w:t>
      </w:r>
    </w:p>
    <w:p w14:paraId="37F14DF7" w14:textId="77777777" w:rsidR="007217CB" w:rsidRPr="00BE7223" w:rsidRDefault="007217CB" w:rsidP="007217CB">
      <w:pPr>
        <w:tabs>
          <w:tab w:val="left" w:pos="426"/>
        </w:tabs>
        <w:spacing w:after="120"/>
        <w:ind w:left="426"/>
        <w:rPr>
          <w:rFonts w:ascii="Arial" w:hAnsi="Arial" w:cs="Arial"/>
        </w:rPr>
      </w:pPr>
      <w:r w:rsidRPr="00BE7223">
        <w:rPr>
          <w:rFonts w:ascii="Arial" w:hAnsi="Arial" w:cs="Arial"/>
        </w:rPr>
        <w:t xml:space="preserve">All students are required to submit a written report on their study abroad. </w:t>
      </w:r>
    </w:p>
    <w:p w14:paraId="5E5E84F3" w14:textId="77777777" w:rsidR="006043FC" w:rsidRDefault="006043FC" w:rsidP="00302082">
      <w:pPr>
        <w:spacing w:after="120" w:line="240" w:lineRule="auto"/>
        <w:ind w:left="426" w:right="260"/>
        <w:rPr>
          <w:rFonts w:ascii="Arial" w:hAnsi="Arial" w:cs="Arial"/>
          <w:b/>
          <w:i/>
          <w:iCs/>
        </w:rPr>
      </w:pPr>
    </w:p>
    <w:p w14:paraId="6B1F4321" w14:textId="77777777" w:rsidR="00696FF5" w:rsidRPr="00696FF5" w:rsidRDefault="00696FF5" w:rsidP="00696FF5">
      <w:pPr>
        <w:spacing w:after="120"/>
        <w:ind w:left="567" w:hanging="567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13.2</w:t>
      </w:r>
      <w:r>
        <w:rPr>
          <w:rFonts w:ascii="Arial" w:hAnsi="Arial" w:cs="Arial"/>
          <w:iCs/>
        </w:rPr>
        <w:tab/>
      </w:r>
      <w:r w:rsidRPr="00696FF5">
        <w:rPr>
          <w:rFonts w:ascii="Arial" w:hAnsi="Arial" w:cs="Arial"/>
          <w:iCs/>
        </w:rPr>
        <w:t xml:space="preserve">Reassessment methods </w:t>
      </w:r>
    </w:p>
    <w:p w14:paraId="4496906E" w14:textId="582E149B" w:rsidR="00696FF5" w:rsidRDefault="00BE7223" w:rsidP="00BE7223">
      <w:pPr>
        <w:spacing w:after="120" w:line="240" w:lineRule="auto"/>
        <w:ind w:left="426" w:right="260"/>
        <w:rPr>
          <w:rFonts w:ascii="Arial" w:hAnsi="Arial" w:cs="Arial"/>
          <w:iCs/>
        </w:rPr>
      </w:pPr>
      <w:proofErr w:type="gramStart"/>
      <w:r w:rsidRPr="00BE7223">
        <w:rPr>
          <w:rFonts w:ascii="Arial" w:hAnsi="Arial" w:cs="Arial"/>
        </w:rPr>
        <w:t>If a student is unsuccessful at the first attempt and</w:t>
      </w:r>
      <w:r w:rsidRPr="00BE7223">
        <w:rPr>
          <w:rFonts w:ascii="Arial" w:hAnsi="Arial" w:cs="Arial"/>
          <w:iCs/>
        </w:rPr>
        <w:t xml:space="preserve"> no retrieval mechanism is available at the host institute for a second attempt in the same academic year, the student may be instructed to submit a portfolio of all the academic work undertaken abroad to be marked at Kent by Kent staff on a ‘Pass/Fail’ basis for consideration at the next KSA Examination Board.</w:t>
      </w:r>
      <w:proofErr w:type="gramEnd"/>
      <w:r w:rsidRPr="00BE7223">
        <w:rPr>
          <w:rFonts w:ascii="Arial" w:hAnsi="Arial" w:cs="Arial"/>
          <w:iCs/>
        </w:rPr>
        <w:t xml:space="preserve"> This is to ensure that students studying abroad have the same opportunities for retrieval and Stage progression as the rest of their academic cohort.</w:t>
      </w:r>
    </w:p>
    <w:p w14:paraId="7AD96EFF" w14:textId="77777777" w:rsidR="00BE7223" w:rsidRDefault="00BE7223" w:rsidP="00BE7223">
      <w:pPr>
        <w:spacing w:after="120" w:line="240" w:lineRule="auto"/>
        <w:ind w:left="426" w:right="260"/>
        <w:rPr>
          <w:rFonts w:ascii="Arial" w:hAnsi="Arial" w:cs="Arial"/>
          <w:b/>
          <w:i/>
          <w:iCs/>
        </w:rPr>
      </w:pPr>
    </w:p>
    <w:p w14:paraId="5F2FB1DD" w14:textId="3C200518" w:rsidR="00274ED7" w:rsidRDefault="006F3F8B" w:rsidP="00696FF5">
      <w:pPr>
        <w:numPr>
          <w:ilvl w:val="0"/>
          <w:numId w:val="1"/>
        </w:numPr>
        <w:spacing w:after="120" w:line="240" w:lineRule="auto"/>
        <w:ind w:left="567" w:right="261" w:hanging="567"/>
        <w:jc w:val="both"/>
        <w:rPr>
          <w:rFonts w:ascii="Arial" w:hAnsi="Arial" w:cs="Arial"/>
          <w:b/>
          <w:i/>
          <w:iCs/>
        </w:rPr>
      </w:pPr>
      <w:r w:rsidRPr="00302082">
        <w:rPr>
          <w:rFonts w:ascii="Arial" w:hAnsi="Arial" w:cs="Arial"/>
          <w:b/>
          <w:i/>
          <w:iCs/>
        </w:rPr>
        <w:t xml:space="preserve">Map of </w:t>
      </w:r>
      <w:r w:rsidR="00883204" w:rsidRPr="00302082">
        <w:rPr>
          <w:rFonts w:ascii="Arial" w:hAnsi="Arial" w:cs="Arial"/>
          <w:b/>
          <w:i/>
          <w:iCs/>
        </w:rPr>
        <w:t xml:space="preserve">module learning outcomes </w:t>
      </w:r>
      <w:r w:rsidR="00B30E07" w:rsidRPr="00302082">
        <w:rPr>
          <w:rFonts w:ascii="Arial" w:hAnsi="Arial" w:cs="Arial"/>
          <w:b/>
          <w:i/>
          <w:iCs/>
        </w:rPr>
        <w:t>(sections 8 &amp; 9)</w:t>
      </w:r>
      <w:r w:rsidR="00883204">
        <w:rPr>
          <w:rFonts w:ascii="Arial" w:hAnsi="Arial" w:cs="Arial"/>
          <w:b/>
          <w:i/>
          <w:iCs/>
        </w:rPr>
        <w:t xml:space="preserve"> to l</w:t>
      </w:r>
      <w:r w:rsidRPr="00302082">
        <w:rPr>
          <w:rFonts w:ascii="Arial" w:hAnsi="Arial" w:cs="Arial"/>
          <w:b/>
          <w:i/>
          <w:iCs/>
        </w:rPr>
        <w:t>earning</w:t>
      </w:r>
      <w:r w:rsidR="00B30E07" w:rsidRPr="00302082">
        <w:rPr>
          <w:rFonts w:ascii="Arial" w:hAnsi="Arial" w:cs="Arial"/>
          <w:b/>
          <w:i/>
          <w:iCs/>
        </w:rPr>
        <w:t xml:space="preserve"> and </w:t>
      </w:r>
      <w:r w:rsidR="00883204" w:rsidRPr="00302082">
        <w:rPr>
          <w:rFonts w:ascii="Arial" w:hAnsi="Arial" w:cs="Arial"/>
          <w:b/>
          <w:i/>
          <w:iCs/>
        </w:rPr>
        <w:t>teaching m</w:t>
      </w:r>
      <w:r w:rsidR="00B30E07" w:rsidRPr="00302082">
        <w:rPr>
          <w:rFonts w:ascii="Arial" w:hAnsi="Arial" w:cs="Arial"/>
          <w:b/>
          <w:i/>
          <w:iCs/>
        </w:rPr>
        <w:t>ethods (section12</w:t>
      </w:r>
      <w:r w:rsidRPr="00302082">
        <w:rPr>
          <w:rFonts w:ascii="Arial" w:hAnsi="Arial" w:cs="Arial"/>
          <w:b/>
          <w:i/>
          <w:iCs/>
        </w:rPr>
        <w:t>) and m</w:t>
      </w:r>
      <w:r w:rsidR="00883204">
        <w:rPr>
          <w:rFonts w:ascii="Arial" w:hAnsi="Arial" w:cs="Arial"/>
          <w:b/>
          <w:i/>
          <w:iCs/>
        </w:rPr>
        <w:t>ethods of a</w:t>
      </w:r>
      <w:r w:rsidR="00B30E07" w:rsidRPr="00302082">
        <w:rPr>
          <w:rFonts w:ascii="Arial" w:hAnsi="Arial" w:cs="Arial"/>
          <w:b/>
          <w:i/>
          <w:iCs/>
        </w:rPr>
        <w:t>ssessment (section 13</w:t>
      </w:r>
      <w:r w:rsidR="00EF4933" w:rsidRPr="00302082">
        <w:rPr>
          <w:rFonts w:ascii="Arial" w:hAnsi="Arial" w:cs="Arial"/>
          <w:b/>
          <w:i/>
          <w:iCs/>
        </w:rPr>
        <w:t>)</w:t>
      </w:r>
    </w:p>
    <w:p w14:paraId="337034CC" w14:textId="77777777" w:rsidR="00A955B6" w:rsidRDefault="00A955B6" w:rsidP="00A955B6">
      <w:pPr>
        <w:spacing w:after="120" w:line="240" w:lineRule="auto"/>
        <w:ind w:left="567" w:right="261"/>
        <w:jc w:val="both"/>
        <w:rPr>
          <w:rFonts w:ascii="Arial" w:hAnsi="Arial" w:cs="Arial"/>
          <w:b/>
          <w:i/>
          <w:iCs/>
        </w:rPr>
      </w:pPr>
    </w:p>
    <w:tbl>
      <w:tblPr>
        <w:tblStyle w:val="TableGrid2"/>
        <w:tblW w:w="45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30"/>
        <w:gridCol w:w="567"/>
        <w:gridCol w:w="567"/>
        <w:gridCol w:w="567"/>
        <w:gridCol w:w="567"/>
        <w:gridCol w:w="567"/>
      </w:tblGrid>
      <w:tr w:rsidR="00A955B6" w:rsidRPr="00A955B6" w14:paraId="0A615525" w14:textId="77777777" w:rsidTr="00017072">
        <w:tc>
          <w:tcPr>
            <w:tcW w:w="1730" w:type="dxa"/>
            <w:shd w:val="clear" w:color="auto" w:fill="D9D9D9" w:themeFill="background1" w:themeFillShade="D9"/>
          </w:tcPr>
          <w:p w14:paraId="0E0C10A4" w14:textId="77777777" w:rsidR="00A955B6" w:rsidRPr="00A955B6" w:rsidRDefault="00A955B6" w:rsidP="00A955B6">
            <w:pPr>
              <w:spacing w:after="120"/>
              <w:ind w:left="33"/>
              <w:rPr>
                <w:rFonts w:ascii="Arial" w:hAnsi="Arial" w:cs="Arial"/>
                <w:b/>
              </w:rPr>
            </w:pPr>
            <w:r w:rsidRPr="00A955B6">
              <w:rPr>
                <w:rFonts w:ascii="Arial" w:hAnsi="Arial" w:cs="Arial"/>
                <w:b/>
              </w:rPr>
              <w:lastRenderedPageBreak/>
              <w:t>Module learning outcome</w:t>
            </w:r>
          </w:p>
        </w:tc>
        <w:tc>
          <w:tcPr>
            <w:tcW w:w="567" w:type="dxa"/>
          </w:tcPr>
          <w:p w14:paraId="7FE7121B" w14:textId="77777777" w:rsidR="00A955B6" w:rsidRPr="00A955B6" w:rsidRDefault="00A955B6" w:rsidP="00A955B6">
            <w:pPr>
              <w:spacing w:after="120"/>
              <w:rPr>
                <w:rFonts w:ascii="Arial" w:hAnsi="Arial" w:cs="Arial"/>
              </w:rPr>
            </w:pPr>
            <w:r w:rsidRPr="00A955B6">
              <w:rPr>
                <w:rFonts w:ascii="Arial" w:hAnsi="Arial" w:cs="Arial"/>
              </w:rPr>
              <w:t>8.1</w:t>
            </w:r>
          </w:p>
        </w:tc>
        <w:tc>
          <w:tcPr>
            <w:tcW w:w="567" w:type="dxa"/>
          </w:tcPr>
          <w:p w14:paraId="5EAE8E4B" w14:textId="77777777" w:rsidR="00A955B6" w:rsidRPr="00A955B6" w:rsidRDefault="00A955B6" w:rsidP="00A955B6">
            <w:pPr>
              <w:spacing w:after="120"/>
              <w:rPr>
                <w:rFonts w:ascii="Arial" w:hAnsi="Arial" w:cs="Arial"/>
              </w:rPr>
            </w:pPr>
            <w:r w:rsidRPr="00A955B6">
              <w:rPr>
                <w:rFonts w:ascii="Arial" w:hAnsi="Arial" w:cs="Arial"/>
              </w:rPr>
              <w:t>8.2</w:t>
            </w:r>
          </w:p>
        </w:tc>
        <w:tc>
          <w:tcPr>
            <w:tcW w:w="567" w:type="dxa"/>
          </w:tcPr>
          <w:p w14:paraId="6995B014" w14:textId="77777777" w:rsidR="00A955B6" w:rsidRPr="00A955B6" w:rsidRDefault="00A955B6" w:rsidP="00A955B6">
            <w:pPr>
              <w:spacing w:after="120"/>
              <w:rPr>
                <w:rFonts w:ascii="Arial" w:hAnsi="Arial" w:cs="Arial"/>
              </w:rPr>
            </w:pPr>
            <w:r w:rsidRPr="00A955B6">
              <w:rPr>
                <w:rFonts w:ascii="Arial" w:hAnsi="Arial" w:cs="Arial"/>
              </w:rPr>
              <w:t>8.3</w:t>
            </w:r>
          </w:p>
        </w:tc>
        <w:tc>
          <w:tcPr>
            <w:tcW w:w="567" w:type="dxa"/>
          </w:tcPr>
          <w:p w14:paraId="2E90F17E" w14:textId="77777777" w:rsidR="00A955B6" w:rsidRPr="00A955B6" w:rsidRDefault="00A955B6" w:rsidP="00A955B6">
            <w:pPr>
              <w:spacing w:after="120"/>
              <w:rPr>
                <w:rFonts w:ascii="Arial" w:hAnsi="Arial" w:cs="Arial"/>
              </w:rPr>
            </w:pPr>
            <w:r w:rsidRPr="00A955B6">
              <w:rPr>
                <w:rFonts w:ascii="Arial" w:hAnsi="Arial" w:cs="Arial"/>
              </w:rPr>
              <w:t>9.1</w:t>
            </w:r>
          </w:p>
        </w:tc>
        <w:tc>
          <w:tcPr>
            <w:tcW w:w="567" w:type="dxa"/>
          </w:tcPr>
          <w:p w14:paraId="098D3CC7" w14:textId="77777777" w:rsidR="00A955B6" w:rsidRPr="00A955B6" w:rsidRDefault="00A955B6" w:rsidP="00A955B6">
            <w:pPr>
              <w:spacing w:after="120"/>
              <w:rPr>
                <w:rFonts w:ascii="Arial" w:hAnsi="Arial" w:cs="Arial"/>
              </w:rPr>
            </w:pPr>
            <w:r w:rsidRPr="00A955B6">
              <w:rPr>
                <w:rFonts w:ascii="Arial" w:hAnsi="Arial" w:cs="Arial"/>
              </w:rPr>
              <w:t>9.2</w:t>
            </w:r>
          </w:p>
        </w:tc>
      </w:tr>
      <w:tr w:rsidR="00A955B6" w:rsidRPr="00A955B6" w14:paraId="5D6BF2FA" w14:textId="77777777" w:rsidTr="00017072">
        <w:tc>
          <w:tcPr>
            <w:tcW w:w="1730" w:type="dxa"/>
            <w:shd w:val="clear" w:color="auto" w:fill="D9D9D9" w:themeFill="background1" w:themeFillShade="D9"/>
          </w:tcPr>
          <w:p w14:paraId="530C1E6B" w14:textId="77777777" w:rsidR="00A955B6" w:rsidRPr="00A955B6" w:rsidRDefault="00A955B6" w:rsidP="00A955B6">
            <w:pPr>
              <w:spacing w:after="120"/>
              <w:rPr>
                <w:rFonts w:ascii="Arial" w:hAnsi="Arial" w:cs="Arial"/>
                <w:b/>
              </w:rPr>
            </w:pPr>
            <w:r w:rsidRPr="00A955B6">
              <w:rPr>
                <w:rFonts w:ascii="Arial" w:hAnsi="Arial" w:cs="Arial"/>
                <w:b/>
              </w:rPr>
              <w:t>Learning/ teaching method</w:t>
            </w:r>
          </w:p>
        </w:tc>
        <w:tc>
          <w:tcPr>
            <w:tcW w:w="567" w:type="dxa"/>
          </w:tcPr>
          <w:p w14:paraId="12F7CEA2" w14:textId="77777777" w:rsidR="00A955B6" w:rsidRPr="00A955B6" w:rsidRDefault="00A955B6" w:rsidP="00A955B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47BED592" w14:textId="77777777" w:rsidR="00A955B6" w:rsidRPr="00A955B6" w:rsidRDefault="00A955B6" w:rsidP="00A955B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7F142F22" w14:textId="77777777" w:rsidR="00A955B6" w:rsidRPr="00A955B6" w:rsidRDefault="00A955B6" w:rsidP="00A955B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4461172C" w14:textId="77777777" w:rsidR="00A955B6" w:rsidRPr="00A955B6" w:rsidRDefault="00A955B6" w:rsidP="00A955B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BC2DB82" w14:textId="77777777" w:rsidR="00A955B6" w:rsidRPr="00A955B6" w:rsidRDefault="00A955B6" w:rsidP="00A955B6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A955B6" w:rsidRPr="00A955B6" w14:paraId="69DA8D7F" w14:textId="77777777" w:rsidTr="00017072">
        <w:tc>
          <w:tcPr>
            <w:tcW w:w="1730" w:type="dxa"/>
          </w:tcPr>
          <w:p w14:paraId="1155381D" w14:textId="77777777" w:rsidR="00A955B6" w:rsidRPr="00A955B6" w:rsidRDefault="00A955B6" w:rsidP="00A955B6">
            <w:pPr>
              <w:spacing w:after="120"/>
              <w:rPr>
                <w:rFonts w:ascii="Arial" w:hAnsi="Arial" w:cs="Arial"/>
                <w:b/>
              </w:rPr>
            </w:pPr>
            <w:r w:rsidRPr="00A955B6">
              <w:rPr>
                <w:rFonts w:ascii="Arial" w:hAnsi="Arial" w:cs="Arial"/>
                <w:b/>
              </w:rPr>
              <w:t>Private Study</w:t>
            </w:r>
          </w:p>
        </w:tc>
        <w:tc>
          <w:tcPr>
            <w:tcW w:w="567" w:type="dxa"/>
          </w:tcPr>
          <w:p w14:paraId="0D567B78" w14:textId="77777777" w:rsidR="00A955B6" w:rsidRPr="00A955B6" w:rsidRDefault="00A955B6" w:rsidP="00A955B6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A955B6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567" w:type="dxa"/>
          </w:tcPr>
          <w:p w14:paraId="49CB5048" w14:textId="77777777" w:rsidR="00A955B6" w:rsidRPr="00A955B6" w:rsidRDefault="00A955B6" w:rsidP="00A955B6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A955B6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567" w:type="dxa"/>
          </w:tcPr>
          <w:p w14:paraId="17D3C202" w14:textId="77777777" w:rsidR="00A955B6" w:rsidRPr="00A955B6" w:rsidRDefault="00A955B6" w:rsidP="00A955B6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A955B6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567" w:type="dxa"/>
          </w:tcPr>
          <w:p w14:paraId="31C69720" w14:textId="77777777" w:rsidR="00A955B6" w:rsidRPr="00A955B6" w:rsidRDefault="00A955B6" w:rsidP="00A955B6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A955B6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567" w:type="dxa"/>
          </w:tcPr>
          <w:p w14:paraId="2AA07CA5" w14:textId="77777777" w:rsidR="00A955B6" w:rsidRPr="00A955B6" w:rsidRDefault="00A955B6" w:rsidP="00A955B6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A955B6">
              <w:rPr>
                <w:rFonts w:ascii="Arial" w:hAnsi="Arial" w:cs="Arial"/>
                <w:b/>
              </w:rPr>
              <w:t>X</w:t>
            </w:r>
          </w:p>
        </w:tc>
      </w:tr>
      <w:tr w:rsidR="00A955B6" w:rsidRPr="00A955B6" w14:paraId="59D91E99" w14:textId="77777777" w:rsidTr="00017072">
        <w:tc>
          <w:tcPr>
            <w:tcW w:w="1730" w:type="dxa"/>
          </w:tcPr>
          <w:p w14:paraId="00732CE3" w14:textId="77777777" w:rsidR="00A955B6" w:rsidRPr="00A955B6" w:rsidRDefault="00A955B6" w:rsidP="00A955B6">
            <w:pPr>
              <w:spacing w:after="120"/>
              <w:rPr>
                <w:rFonts w:ascii="Arial" w:hAnsi="Arial" w:cs="Arial"/>
              </w:rPr>
            </w:pPr>
            <w:r w:rsidRPr="00A955B6">
              <w:rPr>
                <w:rFonts w:ascii="Arial" w:hAnsi="Arial" w:cs="Arial"/>
              </w:rPr>
              <w:t>Tuition method according to institute</w:t>
            </w:r>
          </w:p>
        </w:tc>
        <w:tc>
          <w:tcPr>
            <w:tcW w:w="567" w:type="dxa"/>
          </w:tcPr>
          <w:p w14:paraId="5D8DBB95" w14:textId="77777777" w:rsidR="00A955B6" w:rsidRPr="00A955B6" w:rsidRDefault="00A955B6" w:rsidP="00A955B6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A955B6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567" w:type="dxa"/>
          </w:tcPr>
          <w:p w14:paraId="21622909" w14:textId="77777777" w:rsidR="00A955B6" w:rsidRPr="00A955B6" w:rsidRDefault="00A955B6" w:rsidP="00A955B6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A955B6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567" w:type="dxa"/>
          </w:tcPr>
          <w:p w14:paraId="4DCCFE68" w14:textId="77777777" w:rsidR="00A955B6" w:rsidRPr="00A955B6" w:rsidRDefault="00A955B6" w:rsidP="00A955B6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A955B6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567" w:type="dxa"/>
          </w:tcPr>
          <w:p w14:paraId="4C48C834" w14:textId="77777777" w:rsidR="00A955B6" w:rsidRPr="00A955B6" w:rsidRDefault="00A955B6" w:rsidP="00A955B6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A955B6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567" w:type="dxa"/>
          </w:tcPr>
          <w:p w14:paraId="1F35465D" w14:textId="77777777" w:rsidR="00A955B6" w:rsidRPr="00A955B6" w:rsidRDefault="00A955B6" w:rsidP="00A955B6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A955B6">
              <w:rPr>
                <w:rFonts w:ascii="Arial" w:hAnsi="Arial" w:cs="Arial"/>
                <w:b/>
              </w:rPr>
              <w:t>X</w:t>
            </w:r>
          </w:p>
        </w:tc>
      </w:tr>
      <w:tr w:rsidR="00A955B6" w:rsidRPr="00A955B6" w14:paraId="4C6B689A" w14:textId="77777777" w:rsidTr="00017072">
        <w:tc>
          <w:tcPr>
            <w:tcW w:w="1730" w:type="dxa"/>
            <w:shd w:val="clear" w:color="auto" w:fill="D9D9D9" w:themeFill="background1" w:themeFillShade="D9"/>
          </w:tcPr>
          <w:p w14:paraId="7977B1FD" w14:textId="77777777" w:rsidR="00A955B6" w:rsidRPr="00A955B6" w:rsidRDefault="00A955B6" w:rsidP="00A955B6">
            <w:pPr>
              <w:spacing w:after="120"/>
              <w:rPr>
                <w:rFonts w:ascii="Arial" w:hAnsi="Arial" w:cs="Arial"/>
                <w:b/>
              </w:rPr>
            </w:pPr>
            <w:r w:rsidRPr="00A955B6">
              <w:rPr>
                <w:rFonts w:ascii="Arial" w:hAnsi="Arial" w:cs="Arial"/>
                <w:b/>
              </w:rPr>
              <w:t>Assessment method</w:t>
            </w:r>
          </w:p>
        </w:tc>
        <w:tc>
          <w:tcPr>
            <w:tcW w:w="567" w:type="dxa"/>
          </w:tcPr>
          <w:p w14:paraId="7FF43204" w14:textId="77777777" w:rsidR="00A955B6" w:rsidRPr="00A955B6" w:rsidRDefault="00A955B6" w:rsidP="00A955B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62FAE13" w14:textId="77777777" w:rsidR="00A955B6" w:rsidRPr="00A955B6" w:rsidRDefault="00A955B6" w:rsidP="00A955B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7E35FB05" w14:textId="77777777" w:rsidR="00A955B6" w:rsidRPr="00A955B6" w:rsidRDefault="00A955B6" w:rsidP="00A955B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77EBF323" w14:textId="77777777" w:rsidR="00A955B6" w:rsidRPr="00A955B6" w:rsidRDefault="00A955B6" w:rsidP="00A955B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31DB7D87" w14:textId="77777777" w:rsidR="00A955B6" w:rsidRPr="00A955B6" w:rsidRDefault="00A955B6" w:rsidP="00A955B6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A955B6" w:rsidRPr="00A955B6" w14:paraId="167CD2AD" w14:textId="77777777" w:rsidTr="00017072">
        <w:tc>
          <w:tcPr>
            <w:tcW w:w="1730" w:type="dxa"/>
          </w:tcPr>
          <w:p w14:paraId="4F98BD80" w14:textId="77777777" w:rsidR="00A955B6" w:rsidRPr="00A955B6" w:rsidRDefault="00A955B6" w:rsidP="00A955B6">
            <w:pPr>
              <w:spacing w:after="120"/>
              <w:rPr>
                <w:rFonts w:ascii="Arial" w:hAnsi="Arial" w:cs="Arial"/>
              </w:rPr>
            </w:pPr>
            <w:r w:rsidRPr="00A955B6">
              <w:rPr>
                <w:rFonts w:ascii="Arial" w:hAnsi="Arial" w:cs="Arial"/>
              </w:rPr>
              <w:t>Assessment method according to institute</w:t>
            </w:r>
          </w:p>
        </w:tc>
        <w:tc>
          <w:tcPr>
            <w:tcW w:w="567" w:type="dxa"/>
          </w:tcPr>
          <w:p w14:paraId="31AAC45F" w14:textId="77777777" w:rsidR="00A955B6" w:rsidRPr="00A955B6" w:rsidRDefault="00A955B6" w:rsidP="00A955B6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A955B6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567" w:type="dxa"/>
          </w:tcPr>
          <w:p w14:paraId="7F3C476D" w14:textId="77777777" w:rsidR="00A955B6" w:rsidRPr="00A955B6" w:rsidRDefault="00A955B6" w:rsidP="00A955B6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A955B6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567" w:type="dxa"/>
          </w:tcPr>
          <w:p w14:paraId="468D1569" w14:textId="77777777" w:rsidR="00A955B6" w:rsidRPr="00A955B6" w:rsidRDefault="00A955B6" w:rsidP="00A955B6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A955B6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567" w:type="dxa"/>
          </w:tcPr>
          <w:p w14:paraId="2D7B3DE1" w14:textId="77777777" w:rsidR="00A955B6" w:rsidRPr="00A955B6" w:rsidRDefault="00A955B6" w:rsidP="00A955B6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A955B6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567" w:type="dxa"/>
          </w:tcPr>
          <w:p w14:paraId="6C01A752" w14:textId="77777777" w:rsidR="00A955B6" w:rsidRPr="00A955B6" w:rsidRDefault="00A955B6" w:rsidP="00A955B6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A955B6">
              <w:rPr>
                <w:rFonts w:ascii="Arial" w:hAnsi="Arial" w:cs="Arial"/>
                <w:b/>
              </w:rPr>
              <w:t>X</w:t>
            </w:r>
          </w:p>
        </w:tc>
      </w:tr>
    </w:tbl>
    <w:p w14:paraId="4EE1AC3A" w14:textId="4980133F" w:rsidR="00C57028" w:rsidRPr="00C57028" w:rsidRDefault="00C57028" w:rsidP="00C57028">
      <w:pPr>
        <w:spacing w:after="120" w:line="240" w:lineRule="auto"/>
        <w:ind w:left="567" w:right="261"/>
        <w:jc w:val="both"/>
        <w:rPr>
          <w:rFonts w:ascii="Arial" w:hAnsi="Arial" w:cs="Arial"/>
          <w:i/>
          <w:iCs/>
        </w:rPr>
      </w:pPr>
    </w:p>
    <w:p w14:paraId="01621FB7" w14:textId="77777777" w:rsidR="007A6245" w:rsidRDefault="007A6245" w:rsidP="00302082">
      <w:pPr>
        <w:spacing w:after="120" w:line="240" w:lineRule="auto"/>
        <w:ind w:left="426" w:right="260"/>
        <w:rPr>
          <w:rFonts w:ascii="Arial" w:hAnsi="Arial" w:cs="Arial"/>
          <w:b/>
          <w:iCs/>
        </w:rPr>
      </w:pPr>
    </w:p>
    <w:p w14:paraId="2C675FF6" w14:textId="77777777" w:rsidR="00883204" w:rsidRPr="00D50113" w:rsidRDefault="00883204" w:rsidP="00696FF5">
      <w:pPr>
        <w:numPr>
          <w:ilvl w:val="0"/>
          <w:numId w:val="1"/>
        </w:numPr>
        <w:spacing w:after="120" w:line="240" w:lineRule="auto"/>
        <w:ind w:left="567" w:right="260" w:hanging="567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  <w:bCs/>
        </w:rPr>
        <w:t>Inclusive m</w:t>
      </w:r>
      <w:r w:rsidRPr="00D50113">
        <w:rPr>
          <w:rFonts w:ascii="Arial" w:hAnsi="Arial" w:cs="Arial"/>
          <w:b/>
          <w:bCs/>
        </w:rPr>
        <w:t xml:space="preserve">odule </w:t>
      </w:r>
      <w:r>
        <w:rPr>
          <w:rFonts w:ascii="Arial" w:hAnsi="Arial" w:cs="Arial"/>
          <w:b/>
          <w:bCs/>
        </w:rPr>
        <w:t>d</w:t>
      </w:r>
      <w:r w:rsidRPr="00D50113">
        <w:rPr>
          <w:rFonts w:ascii="Arial" w:hAnsi="Arial" w:cs="Arial"/>
          <w:b/>
          <w:bCs/>
        </w:rPr>
        <w:t xml:space="preserve">esign </w:t>
      </w:r>
    </w:p>
    <w:p w14:paraId="14D927DA" w14:textId="08B07E44" w:rsidR="00883204" w:rsidRPr="00D50113" w:rsidRDefault="00883204" w:rsidP="00696FF5">
      <w:pPr>
        <w:autoSpaceDE w:val="0"/>
        <w:autoSpaceDN w:val="0"/>
        <w:adjustRightInd w:val="0"/>
        <w:spacing w:after="120" w:line="240" w:lineRule="auto"/>
        <w:ind w:left="567" w:right="260"/>
        <w:jc w:val="both"/>
        <w:rPr>
          <w:rFonts w:ascii="Arial" w:hAnsi="Arial" w:cs="Arial"/>
        </w:rPr>
      </w:pPr>
      <w:proofErr w:type="gramStart"/>
      <w:r w:rsidRPr="00D50113">
        <w:rPr>
          <w:rFonts w:ascii="Arial" w:hAnsi="Arial" w:cs="Arial"/>
        </w:rPr>
        <w:t xml:space="preserve">The </w:t>
      </w:r>
      <w:r w:rsidRPr="00131869">
        <w:rPr>
          <w:rFonts w:ascii="Arial" w:hAnsi="Arial" w:cs="Arial"/>
        </w:rPr>
        <w:t>School</w:t>
      </w:r>
      <w:r w:rsidR="00203157">
        <w:rPr>
          <w:rFonts w:ascii="Arial" w:hAnsi="Arial" w:cs="Arial"/>
        </w:rPr>
        <w:t xml:space="preserve"> </w:t>
      </w:r>
      <w:r w:rsidRPr="00D50113">
        <w:rPr>
          <w:rFonts w:ascii="Arial" w:hAnsi="Arial" w:cs="Arial"/>
        </w:rPr>
        <w:t>recognises and has embedded the expectations of current equality legislation, by ensuring that the module is as accessible as possible by design.</w:t>
      </w:r>
      <w:proofErr w:type="gramEnd"/>
      <w:r w:rsidRPr="00D50113">
        <w:rPr>
          <w:rFonts w:ascii="Arial" w:hAnsi="Arial" w:cs="Arial"/>
        </w:rPr>
        <w:t xml:space="preserve"> Additional alternative arrangements for students with Inclusive Learning Plans (ILPs)/declared disabilities </w:t>
      </w:r>
      <w:proofErr w:type="gramStart"/>
      <w:r w:rsidRPr="00D50113">
        <w:rPr>
          <w:rFonts w:ascii="Arial" w:hAnsi="Arial" w:cs="Arial"/>
        </w:rPr>
        <w:t>will be made</w:t>
      </w:r>
      <w:proofErr w:type="gramEnd"/>
      <w:r w:rsidRPr="00D50113">
        <w:rPr>
          <w:rFonts w:ascii="Arial" w:hAnsi="Arial" w:cs="Arial"/>
        </w:rPr>
        <w:t xml:space="preserve"> on an individual basis, in consultation with the relevant policies and support services.</w:t>
      </w:r>
    </w:p>
    <w:p w14:paraId="69DAA01C" w14:textId="77777777" w:rsidR="00883204" w:rsidRPr="00D50113" w:rsidRDefault="00883204" w:rsidP="00696FF5">
      <w:pPr>
        <w:autoSpaceDE w:val="0"/>
        <w:autoSpaceDN w:val="0"/>
        <w:adjustRightInd w:val="0"/>
        <w:spacing w:after="120" w:line="240" w:lineRule="auto"/>
        <w:ind w:left="567" w:right="260"/>
        <w:jc w:val="both"/>
        <w:rPr>
          <w:rFonts w:ascii="Arial" w:hAnsi="Arial" w:cs="Arial"/>
        </w:rPr>
      </w:pPr>
      <w:r w:rsidRPr="00D50113">
        <w:rPr>
          <w:rFonts w:ascii="Arial" w:hAnsi="Arial" w:cs="Arial"/>
        </w:rPr>
        <w:t xml:space="preserve">The inclusive practices in the guidance (see </w:t>
      </w:r>
      <w:r>
        <w:rPr>
          <w:rFonts w:ascii="Arial" w:hAnsi="Arial" w:cs="Arial"/>
        </w:rPr>
        <w:t xml:space="preserve">Annex B </w:t>
      </w:r>
      <w:r w:rsidRPr="00D50113">
        <w:rPr>
          <w:rFonts w:ascii="Arial" w:hAnsi="Arial" w:cs="Arial"/>
        </w:rPr>
        <w:t>Appendix</w:t>
      </w:r>
      <w:r>
        <w:rPr>
          <w:rFonts w:ascii="Arial" w:hAnsi="Arial" w:cs="Arial"/>
        </w:rPr>
        <w:t xml:space="preserve"> A</w:t>
      </w:r>
      <w:r w:rsidRPr="00D50113">
        <w:rPr>
          <w:rFonts w:ascii="Arial" w:hAnsi="Arial" w:cs="Arial"/>
        </w:rPr>
        <w:t xml:space="preserve">) </w:t>
      </w:r>
      <w:proofErr w:type="gramStart"/>
      <w:r w:rsidRPr="00D50113">
        <w:rPr>
          <w:rFonts w:ascii="Arial" w:hAnsi="Arial" w:cs="Arial"/>
        </w:rPr>
        <w:t>have been considered</w:t>
      </w:r>
      <w:proofErr w:type="gramEnd"/>
      <w:r w:rsidRPr="00D50113">
        <w:rPr>
          <w:rFonts w:ascii="Arial" w:hAnsi="Arial" w:cs="Arial"/>
        </w:rPr>
        <w:t xml:space="preserve"> in order to support all students in the following areas:</w:t>
      </w:r>
    </w:p>
    <w:p w14:paraId="033D466D" w14:textId="77777777" w:rsidR="00883204" w:rsidRPr="00D50113" w:rsidRDefault="00883204" w:rsidP="00696FF5">
      <w:pPr>
        <w:autoSpaceDE w:val="0"/>
        <w:autoSpaceDN w:val="0"/>
        <w:adjustRightInd w:val="0"/>
        <w:spacing w:after="120" w:line="240" w:lineRule="auto"/>
        <w:ind w:left="567" w:right="260"/>
        <w:jc w:val="both"/>
        <w:rPr>
          <w:rFonts w:ascii="Arial" w:hAnsi="Arial" w:cs="Arial"/>
          <w:bCs/>
        </w:rPr>
      </w:pPr>
      <w:r w:rsidRPr="00D50113">
        <w:rPr>
          <w:rFonts w:ascii="Arial" w:hAnsi="Arial" w:cs="Arial"/>
        </w:rPr>
        <w:t xml:space="preserve">a) </w:t>
      </w:r>
      <w:r w:rsidRPr="00D50113">
        <w:rPr>
          <w:rFonts w:ascii="Arial" w:hAnsi="Arial" w:cs="Arial"/>
          <w:bCs/>
        </w:rPr>
        <w:t>Accessible resources and curriculum</w:t>
      </w:r>
    </w:p>
    <w:p w14:paraId="60C38323" w14:textId="77777777" w:rsidR="00883204" w:rsidRPr="00D50113" w:rsidRDefault="00883204" w:rsidP="00696FF5">
      <w:p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right="260"/>
        <w:jc w:val="both"/>
        <w:rPr>
          <w:rFonts w:ascii="Arial" w:hAnsi="Arial" w:cs="Arial"/>
          <w:color w:val="000000"/>
        </w:rPr>
      </w:pPr>
      <w:r w:rsidRPr="00D50113">
        <w:rPr>
          <w:rFonts w:ascii="Arial" w:hAnsi="Arial" w:cs="Arial"/>
        </w:rPr>
        <w:t xml:space="preserve">b) </w:t>
      </w:r>
      <w:r w:rsidRPr="00D50113">
        <w:rPr>
          <w:rFonts w:ascii="Arial" w:hAnsi="Arial" w:cs="Arial"/>
          <w:bCs/>
        </w:rPr>
        <w:t>Learning</w:t>
      </w:r>
      <w:r w:rsidR="00BB2045">
        <w:rPr>
          <w:rFonts w:ascii="Arial" w:hAnsi="Arial" w:cs="Arial"/>
          <w:bCs/>
        </w:rPr>
        <w:t>,</w:t>
      </w:r>
      <w:r w:rsidRPr="00D50113">
        <w:rPr>
          <w:rFonts w:ascii="Arial" w:hAnsi="Arial" w:cs="Arial"/>
          <w:bCs/>
        </w:rPr>
        <w:t xml:space="preserve"> teaching and assessment methods</w:t>
      </w:r>
    </w:p>
    <w:p w14:paraId="478AB0C1" w14:textId="77777777" w:rsidR="00096DA4" w:rsidRPr="00302082" w:rsidRDefault="00096DA4" w:rsidP="00302082">
      <w:pPr>
        <w:spacing w:after="120" w:line="240" w:lineRule="auto"/>
        <w:ind w:left="426" w:right="260"/>
        <w:rPr>
          <w:rFonts w:ascii="Arial" w:hAnsi="Arial" w:cs="Arial"/>
          <w:i/>
          <w:iCs/>
        </w:rPr>
      </w:pPr>
    </w:p>
    <w:p w14:paraId="2EABC131" w14:textId="77777777" w:rsidR="009A2D37" w:rsidRPr="00302082" w:rsidRDefault="00883204" w:rsidP="00696FF5">
      <w:pPr>
        <w:numPr>
          <w:ilvl w:val="0"/>
          <w:numId w:val="1"/>
        </w:numPr>
        <w:spacing w:after="120" w:line="240" w:lineRule="auto"/>
        <w:ind w:left="567" w:right="260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Campus(</w:t>
      </w:r>
      <w:proofErr w:type="spellStart"/>
      <w:r>
        <w:rPr>
          <w:rFonts w:ascii="Arial" w:hAnsi="Arial" w:cs="Arial"/>
          <w:b/>
        </w:rPr>
        <w:t>es</w:t>
      </w:r>
      <w:proofErr w:type="spellEnd"/>
      <w:r>
        <w:rPr>
          <w:rFonts w:ascii="Arial" w:hAnsi="Arial" w:cs="Arial"/>
          <w:b/>
        </w:rPr>
        <w:t>) or c</w:t>
      </w:r>
      <w:r w:rsidR="009A2D37" w:rsidRPr="00302082">
        <w:rPr>
          <w:rFonts w:ascii="Arial" w:hAnsi="Arial" w:cs="Arial"/>
          <w:b/>
        </w:rPr>
        <w:t>entre(s)</w:t>
      </w:r>
      <w:r>
        <w:rPr>
          <w:rFonts w:ascii="Arial" w:hAnsi="Arial" w:cs="Arial"/>
          <w:b/>
        </w:rPr>
        <w:t xml:space="preserve"> where module will be delivered</w:t>
      </w:r>
    </w:p>
    <w:p w14:paraId="0E1F4FEB" w14:textId="7F833C06" w:rsidR="009A2D37" w:rsidRPr="009F1D5B" w:rsidRDefault="009F1D5B" w:rsidP="00696FF5">
      <w:pPr>
        <w:spacing w:after="120" w:line="240" w:lineRule="auto"/>
        <w:ind w:left="567" w:right="260"/>
        <w:jc w:val="both"/>
        <w:rPr>
          <w:rFonts w:ascii="Arial" w:hAnsi="Arial" w:cs="Arial"/>
          <w:b/>
        </w:rPr>
      </w:pPr>
      <w:r w:rsidRPr="009F1D5B">
        <w:rPr>
          <w:rFonts w:ascii="Arial" w:hAnsi="Arial" w:cs="Arial"/>
        </w:rPr>
        <w:t>Host Institute</w:t>
      </w:r>
      <w:r w:rsidR="009A2D37" w:rsidRPr="009F1D5B">
        <w:rPr>
          <w:rFonts w:ascii="Arial" w:hAnsi="Arial" w:cs="Arial"/>
        </w:rPr>
        <w:t xml:space="preserve"> </w:t>
      </w:r>
    </w:p>
    <w:p w14:paraId="6249990D" w14:textId="77777777" w:rsidR="009A2D37" w:rsidRDefault="009A2D37" w:rsidP="00302082">
      <w:pPr>
        <w:spacing w:after="120" w:line="240" w:lineRule="auto"/>
        <w:ind w:left="426" w:right="260"/>
        <w:rPr>
          <w:rFonts w:ascii="Arial" w:hAnsi="Arial" w:cs="Arial"/>
          <w:i/>
          <w:iCs/>
        </w:rPr>
      </w:pPr>
    </w:p>
    <w:p w14:paraId="3C8167C8" w14:textId="77777777" w:rsidR="00883204" w:rsidRPr="002A7F48" w:rsidRDefault="00883204" w:rsidP="00696FF5">
      <w:pPr>
        <w:numPr>
          <w:ilvl w:val="0"/>
          <w:numId w:val="1"/>
        </w:numPr>
        <w:spacing w:after="120" w:line="240" w:lineRule="auto"/>
        <w:ind w:left="567" w:right="261" w:hanging="568"/>
        <w:jc w:val="both"/>
        <w:rPr>
          <w:rFonts w:ascii="Arial" w:hAnsi="Arial" w:cs="Arial"/>
          <w:b/>
        </w:rPr>
      </w:pPr>
      <w:r w:rsidRPr="002A7F48">
        <w:rPr>
          <w:rFonts w:ascii="Arial" w:hAnsi="Arial" w:cs="Arial"/>
          <w:b/>
        </w:rPr>
        <w:t xml:space="preserve">Internationalisation </w:t>
      </w:r>
    </w:p>
    <w:p w14:paraId="6200037C" w14:textId="3C8CE57C" w:rsidR="00A955B6" w:rsidRPr="00A955B6" w:rsidRDefault="00A955B6" w:rsidP="00A955B6">
      <w:pPr>
        <w:spacing w:after="120" w:line="240" w:lineRule="auto"/>
        <w:ind w:right="260" w:firstLine="567"/>
        <w:jc w:val="both"/>
        <w:rPr>
          <w:rFonts w:ascii="Arial" w:hAnsi="Arial" w:cs="Arial"/>
          <w:i/>
          <w:iCs/>
        </w:rPr>
      </w:pPr>
      <w:r w:rsidRPr="00A955B6">
        <w:rPr>
          <w:rFonts w:ascii="Arial" w:hAnsi="Arial" w:cs="Arial"/>
        </w:rPr>
        <w:t>By virtue of its location abroad</w:t>
      </w:r>
      <w:r>
        <w:rPr>
          <w:rFonts w:ascii="Arial" w:hAnsi="Arial" w:cs="Arial"/>
        </w:rPr>
        <w:t xml:space="preserve"> and learning </w:t>
      </w:r>
      <w:proofErr w:type="gramStart"/>
      <w:r>
        <w:rPr>
          <w:rFonts w:ascii="Arial" w:hAnsi="Arial" w:cs="Arial"/>
        </w:rPr>
        <w:t>outcomes</w:t>
      </w:r>
      <w:proofErr w:type="gramEnd"/>
      <w:r w:rsidRPr="00A955B6">
        <w:rPr>
          <w:rFonts w:ascii="Arial" w:hAnsi="Arial" w:cs="Arial"/>
        </w:rPr>
        <w:t xml:space="preserve"> this module embodies internationalisation.</w:t>
      </w:r>
    </w:p>
    <w:p w14:paraId="2361D827" w14:textId="3A8C4318" w:rsidR="00883204" w:rsidRPr="00883204" w:rsidRDefault="00883204" w:rsidP="00883204">
      <w:pPr>
        <w:spacing w:after="120" w:line="240" w:lineRule="auto"/>
        <w:ind w:right="260"/>
        <w:rPr>
          <w:rFonts w:ascii="Arial" w:hAnsi="Arial" w:cs="Arial"/>
          <w:b/>
        </w:rPr>
      </w:pPr>
    </w:p>
    <w:p w14:paraId="7BAE24D5" w14:textId="77777777" w:rsidR="00641D6D" w:rsidRPr="00302082" w:rsidRDefault="00641D6D" w:rsidP="00302082">
      <w:pPr>
        <w:pBdr>
          <w:bottom w:val="single" w:sz="6" w:space="1" w:color="auto"/>
        </w:pBdr>
        <w:spacing w:after="120" w:line="240" w:lineRule="auto"/>
        <w:ind w:right="260"/>
        <w:rPr>
          <w:rFonts w:ascii="Arial" w:hAnsi="Arial" w:cs="Arial"/>
        </w:rPr>
      </w:pPr>
    </w:p>
    <w:p w14:paraId="62C80952" w14:textId="77777777" w:rsidR="00441E76" w:rsidRPr="00BA453C" w:rsidRDefault="00422B69" w:rsidP="00302082">
      <w:pPr>
        <w:spacing w:after="120" w:line="240" w:lineRule="auto"/>
        <w:ind w:right="260"/>
        <w:rPr>
          <w:rFonts w:ascii="Arial" w:hAnsi="Arial" w:cs="Arial"/>
          <w:b/>
          <w:sz w:val="20"/>
        </w:rPr>
      </w:pPr>
      <w:r w:rsidRPr="00BA453C">
        <w:rPr>
          <w:rFonts w:ascii="Arial" w:hAnsi="Arial" w:cs="Arial"/>
          <w:b/>
          <w:sz w:val="20"/>
        </w:rPr>
        <w:t>FACULTIES SUPPORT OFFICE</w:t>
      </w:r>
      <w:r w:rsidR="00441E76" w:rsidRPr="00BA453C">
        <w:rPr>
          <w:rFonts w:ascii="Arial" w:hAnsi="Arial" w:cs="Arial"/>
          <w:b/>
          <w:sz w:val="20"/>
        </w:rPr>
        <w:t xml:space="preserve"> USE ONLY</w:t>
      </w:r>
      <w:r w:rsidR="00C612A8" w:rsidRPr="00BA453C">
        <w:rPr>
          <w:rFonts w:ascii="Arial" w:hAnsi="Arial" w:cs="Arial"/>
          <w:b/>
          <w:sz w:val="20"/>
        </w:rPr>
        <w:t xml:space="preserve"> </w:t>
      </w:r>
    </w:p>
    <w:p w14:paraId="2F1A7811" w14:textId="77777777" w:rsidR="00D83563" w:rsidRPr="00BA453C" w:rsidRDefault="00D83563" w:rsidP="00302082">
      <w:pPr>
        <w:spacing w:after="120" w:line="240" w:lineRule="auto"/>
        <w:ind w:right="260"/>
        <w:rPr>
          <w:rFonts w:ascii="Arial" w:hAnsi="Arial" w:cs="Arial"/>
          <w:b/>
          <w:sz w:val="20"/>
        </w:rPr>
      </w:pPr>
      <w:r w:rsidRPr="00BA453C">
        <w:rPr>
          <w:rFonts w:ascii="Arial" w:hAnsi="Arial" w:cs="Arial"/>
          <w:b/>
          <w:sz w:val="20"/>
        </w:rPr>
        <w:t>Revision record – all revisions must be recorded in the grid and full details of the change retained in the appropriate committee records.</w:t>
      </w:r>
    </w:p>
    <w:p w14:paraId="257CDF85" w14:textId="77777777" w:rsidR="00422B69" w:rsidRPr="00302082" w:rsidRDefault="00422B69" w:rsidP="00302082">
      <w:pPr>
        <w:spacing w:after="120" w:line="240" w:lineRule="auto"/>
        <w:ind w:right="-330"/>
        <w:rPr>
          <w:rFonts w:ascii="Arial" w:hAnsi="Arial" w:cs="Arial"/>
          <w:b/>
        </w:rPr>
      </w:pPr>
    </w:p>
    <w:tbl>
      <w:tblPr>
        <w:tblStyle w:val="TableGrid"/>
        <w:tblW w:w="10682" w:type="dxa"/>
        <w:tblLook w:val="04A0" w:firstRow="1" w:lastRow="0" w:firstColumn="1" w:lastColumn="0" w:noHBand="0" w:noVBand="1"/>
      </w:tblPr>
      <w:tblGrid>
        <w:gridCol w:w="1526"/>
        <w:gridCol w:w="1701"/>
        <w:gridCol w:w="2410"/>
        <w:gridCol w:w="2448"/>
        <w:gridCol w:w="2597"/>
      </w:tblGrid>
      <w:tr w:rsidR="00302082" w:rsidRPr="00BA453C" w14:paraId="5D8197C5" w14:textId="77777777" w:rsidTr="00694309">
        <w:trPr>
          <w:trHeight w:val="317"/>
        </w:trPr>
        <w:tc>
          <w:tcPr>
            <w:tcW w:w="1526" w:type="dxa"/>
          </w:tcPr>
          <w:p w14:paraId="4297C5C3" w14:textId="77777777" w:rsidR="00422B69" w:rsidRPr="00BA453C" w:rsidRDefault="00422B69" w:rsidP="00302082">
            <w:pPr>
              <w:spacing w:after="120"/>
              <w:ind w:right="-330"/>
              <w:rPr>
                <w:rFonts w:ascii="Arial" w:hAnsi="Arial" w:cs="Arial"/>
                <w:sz w:val="18"/>
              </w:rPr>
            </w:pPr>
            <w:r w:rsidRPr="00BA453C">
              <w:rPr>
                <w:rFonts w:ascii="Arial" w:hAnsi="Arial" w:cs="Arial"/>
                <w:sz w:val="18"/>
              </w:rPr>
              <w:t>Date approved</w:t>
            </w:r>
          </w:p>
        </w:tc>
        <w:tc>
          <w:tcPr>
            <w:tcW w:w="1701" w:type="dxa"/>
          </w:tcPr>
          <w:p w14:paraId="538A9884" w14:textId="77777777" w:rsidR="00422B69" w:rsidRPr="00BA453C" w:rsidRDefault="00422B69" w:rsidP="00302082">
            <w:pPr>
              <w:spacing w:after="120"/>
              <w:rPr>
                <w:rFonts w:ascii="Arial" w:hAnsi="Arial" w:cs="Arial"/>
                <w:sz w:val="18"/>
              </w:rPr>
            </w:pPr>
            <w:r w:rsidRPr="00BA453C">
              <w:rPr>
                <w:rFonts w:ascii="Arial" w:hAnsi="Arial" w:cs="Arial"/>
                <w:sz w:val="18"/>
              </w:rPr>
              <w:t>Major/minor revision</w:t>
            </w:r>
          </w:p>
        </w:tc>
        <w:tc>
          <w:tcPr>
            <w:tcW w:w="2410" w:type="dxa"/>
          </w:tcPr>
          <w:p w14:paraId="0709CF28" w14:textId="77777777" w:rsidR="00422B69" w:rsidRPr="00BA453C" w:rsidRDefault="00422B69" w:rsidP="00302082">
            <w:pPr>
              <w:spacing w:after="120"/>
              <w:ind w:right="-34"/>
              <w:rPr>
                <w:rFonts w:ascii="Arial" w:hAnsi="Arial" w:cs="Arial"/>
                <w:sz w:val="18"/>
              </w:rPr>
            </w:pPr>
            <w:r w:rsidRPr="00BA453C">
              <w:rPr>
                <w:rFonts w:ascii="Arial" w:hAnsi="Arial" w:cs="Arial"/>
                <w:sz w:val="18"/>
              </w:rPr>
              <w:t>Start date of the delivery of  revised version</w:t>
            </w:r>
          </w:p>
        </w:tc>
        <w:tc>
          <w:tcPr>
            <w:tcW w:w="2448" w:type="dxa"/>
          </w:tcPr>
          <w:p w14:paraId="1E5CE4C9" w14:textId="77777777" w:rsidR="00422B69" w:rsidRPr="00BA453C" w:rsidRDefault="00422B69" w:rsidP="00302082">
            <w:pPr>
              <w:spacing w:after="120"/>
              <w:ind w:right="-330"/>
              <w:rPr>
                <w:rFonts w:ascii="Arial" w:hAnsi="Arial" w:cs="Arial"/>
                <w:sz w:val="18"/>
              </w:rPr>
            </w:pPr>
            <w:r w:rsidRPr="00BA453C">
              <w:rPr>
                <w:rFonts w:ascii="Arial" w:hAnsi="Arial" w:cs="Arial"/>
                <w:sz w:val="18"/>
              </w:rPr>
              <w:t>Section revised</w:t>
            </w:r>
          </w:p>
        </w:tc>
        <w:tc>
          <w:tcPr>
            <w:tcW w:w="2597" w:type="dxa"/>
          </w:tcPr>
          <w:p w14:paraId="6CC1AFC9" w14:textId="77777777" w:rsidR="00422B69" w:rsidRPr="00BA453C" w:rsidRDefault="00422B69" w:rsidP="00302082">
            <w:pPr>
              <w:spacing w:after="120"/>
              <w:ind w:right="-330"/>
              <w:rPr>
                <w:rFonts w:ascii="Arial" w:hAnsi="Arial" w:cs="Arial"/>
                <w:sz w:val="18"/>
              </w:rPr>
            </w:pPr>
            <w:r w:rsidRPr="00BA453C">
              <w:rPr>
                <w:rFonts w:ascii="Arial" w:hAnsi="Arial" w:cs="Arial"/>
                <w:sz w:val="18"/>
              </w:rPr>
              <w:t>Impacts PLOs</w:t>
            </w:r>
            <w:r w:rsidR="00694309">
              <w:rPr>
                <w:rFonts w:ascii="Arial" w:hAnsi="Arial" w:cs="Arial"/>
                <w:sz w:val="18"/>
              </w:rPr>
              <w:t xml:space="preserve"> (</w:t>
            </w:r>
            <w:r w:rsidR="001A425B" w:rsidRPr="00BA453C">
              <w:rPr>
                <w:rFonts w:ascii="Arial" w:hAnsi="Arial" w:cs="Arial"/>
                <w:sz w:val="18"/>
              </w:rPr>
              <w:t>Q6&amp;7 cover sheet)</w:t>
            </w:r>
          </w:p>
        </w:tc>
      </w:tr>
      <w:tr w:rsidR="00302082" w:rsidRPr="00302082" w14:paraId="0B184F1B" w14:textId="77777777" w:rsidTr="00694309">
        <w:trPr>
          <w:trHeight w:val="305"/>
        </w:trPr>
        <w:tc>
          <w:tcPr>
            <w:tcW w:w="1526" w:type="dxa"/>
          </w:tcPr>
          <w:p w14:paraId="4FA8542E" w14:textId="77777777" w:rsidR="00422B69" w:rsidRPr="00302082" w:rsidRDefault="00422B69" w:rsidP="00302082">
            <w:pPr>
              <w:spacing w:after="120"/>
              <w:ind w:right="-33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7B24CF8" w14:textId="77777777" w:rsidR="00422B69" w:rsidRPr="00302082" w:rsidRDefault="00422B69" w:rsidP="00302082">
            <w:pPr>
              <w:spacing w:after="120"/>
              <w:ind w:right="-330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5E3F7AEB" w14:textId="77777777" w:rsidR="00422B69" w:rsidRPr="00302082" w:rsidRDefault="00422B69" w:rsidP="00302082">
            <w:pPr>
              <w:spacing w:after="120"/>
              <w:ind w:right="-330"/>
              <w:rPr>
                <w:rFonts w:ascii="Arial" w:hAnsi="Arial" w:cs="Arial"/>
              </w:rPr>
            </w:pPr>
          </w:p>
        </w:tc>
        <w:tc>
          <w:tcPr>
            <w:tcW w:w="2448" w:type="dxa"/>
          </w:tcPr>
          <w:p w14:paraId="445B6562" w14:textId="77777777" w:rsidR="00422B69" w:rsidRPr="00302082" w:rsidRDefault="00422B69" w:rsidP="00302082">
            <w:pPr>
              <w:spacing w:after="120"/>
              <w:ind w:right="-330"/>
              <w:rPr>
                <w:rFonts w:ascii="Arial" w:hAnsi="Arial" w:cs="Arial"/>
              </w:rPr>
            </w:pPr>
          </w:p>
        </w:tc>
        <w:tc>
          <w:tcPr>
            <w:tcW w:w="2597" w:type="dxa"/>
          </w:tcPr>
          <w:p w14:paraId="014D3C8B" w14:textId="77777777" w:rsidR="00422B69" w:rsidRPr="00302082" w:rsidRDefault="00422B69" w:rsidP="00302082">
            <w:pPr>
              <w:spacing w:after="120"/>
              <w:ind w:right="-330"/>
              <w:rPr>
                <w:rFonts w:ascii="Arial" w:hAnsi="Arial" w:cs="Arial"/>
              </w:rPr>
            </w:pPr>
          </w:p>
        </w:tc>
      </w:tr>
      <w:tr w:rsidR="00302082" w:rsidRPr="00302082" w14:paraId="0950BC91" w14:textId="77777777" w:rsidTr="00694309">
        <w:trPr>
          <w:trHeight w:val="305"/>
        </w:trPr>
        <w:tc>
          <w:tcPr>
            <w:tcW w:w="1526" w:type="dxa"/>
          </w:tcPr>
          <w:p w14:paraId="3E9F7189" w14:textId="77777777" w:rsidR="00422B69" w:rsidRPr="00302082" w:rsidRDefault="00422B69" w:rsidP="00302082">
            <w:pPr>
              <w:spacing w:after="120"/>
              <w:ind w:right="-33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5D378FD" w14:textId="77777777" w:rsidR="00422B69" w:rsidRPr="00302082" w:rsidRDefault="00422B69" w:rsidP="00302082">
            <w:pPr>
              <w:spacing w:after="120"/>
              <w:ind w:right="-330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1CD54666" w14:textId="77777777" w:rsidR="00422B69" w:rsidRPr="00302082" w:rsidRDefault="00422B69" w:rsidP="00302082">
            <w:pPr>
              <w:spacing w:after="120"/>
              <w:ind w:right="-330"/>
              <w:rPr>
                <w:rFonts w:ascii="Arial" w:hAnsi="Arial" w:cs="Arial"/>
              </w:rPr>
            </w:pPr>
          </w:p>
        </w:tc>
        <w:tc>
          <w:tcPr>
            <w:tcW w:w="2448" w:type="dxa"/>
          </w:tcPr>
          <w:p w14:paraId="3CFA6B48" w14:textId="77777777" w:rsidR="00422B69" w:rsidRPr="00302082" w:rsidRDefault="00422B69" w:rsidP="00302082">
            <w:pPr>
              <w:spacing w:after="120"/>
              <w:ind w:right="-330"/>
              <w:rPr>
                <w:rFonts w:ascii="Arial" w:hAnsi="Arial" w:cs="Arial"/>
              </w:rPr>
            </w:pPr>
          </w:p>
        </w:tc>
        <w:tc>
          <w:tcPr>
            <w:tcW w:w="2597" w:type="dxa"/>
          </w:tcPr>
          <w:p w14:paraId="6DF273C8" w14:textId="77777777" w:rsidR="00422B69" w:rsidRPr="00302082" w:rsidRDefault="00422B69" w:rsidP="00302082">
            <w:pPr>
              <w:spacing w:after="120"/>
              <w:ind w:right="-330"/>
              <w:rPr>
                <w:rFonts w:ascii="Arial" w:hAnsi="Arial" w:cs="Arial"/>
              </w:rPr>
            </w:pPr>
          </w:p>
        </w:tc>
      </w:tr>
    </w:tbl>
    <w:p w14:paraId="795EB25B" w14:textId="77777777" w:rsidR="00D83563" w:rsidRDefault="00D83563" w:rsidP="00302082">
      <w:pPr>
        <w:spacing w:after="120" w:line="240" w:lineRule="auto"/>
        <w:ind w:right="-330"/>
        <w:rPr>
          <w:rFonts w:ascii="Arial" w:hAnsi="Arial" w:cs="Arial"/>
        </w:rPr>
      </w:pPr>
    </w:p>
    <w:p w14:paraId="40ED494A" w14:textId="77777777" w:rsidR="00C57028" w:rsidRPr="00302082" w:rsidRDefault="00C57028" w:rsidP="00C570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right="-330"/>
        <w:rPr>
          <w:rFonts w:ascii="Arial" w:hAnsi="Arial" w:cs="Arial"/>
        </w:rPr>
      </w:pPr>
      <w:r>
        <w:rPr>
          <w:rFonts w:ascii="Arial" w:hAnsi="Arial" w:cs="Arial"/>
        </w:rPr>
        <w:t>Revised FSO Jan 2018</w:t>
      </w:r>
    </w:p>
    <w:sectPr w:rsidR="00C57028" w:rsidRPr="00302082" w:rsidSect="00B213D2">
      <w:headerReference w:type="default" r:id="rId9"/>
      <w:footerReference w:type="default" r:id="rId10"/>
      <w:headerReference w:type="first" r:id="rId11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04751" w14:textId="77777777" w:rsidR="001A1A33" w:rsidRDefault="001A1A33" w:rsidP="009A2D37">
      <w:pPr>
        <w:spacing w:after="0" w:line="240" w:lineRule="auto"/>
      </w:pPr>
      <w:r>
        <w:separator/>
      </w:r>
    </w:p>
  </w:endnote>
  <w:endnote w:type="continuationSeparator" w:id="0">
    <w:p w14:paraId="6266F832" w14:textId="77777777" w:rsidR="001A1A33" w:rsidRDefault="001A1A33" w:rsidP="009A2D37">
      <w:pPr>
        <w:spacing w:after="0" w:line="240" w:lineRule="auto"/>
      </w:pPr>
      <w:r>
        <w:continuationSeparator/>
      </w:r>
    </w:p>
  </w:endnote>
  <w:endnote w:type="continuationNotice" w:id="1">
    <w:p w14:paraId="483D9358" w14:textId="77777777" w:rsidR="001A1A33" w:rsidRDefault="001A1A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lantin">
    <w:altName w:val="Mangal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259864"/>
      <w:docPartObj>
        <w:docPartGallery w:val="Page Numbers (Bottom of Page)"/>
        <w:docPartUnique/>
      </w:docPartObj>
    </w:sdtPr>
    <w:sdtEndPr/>
    <w:sdtContent>
      <w:p w14:paraId="69177FEC" w14:textId="377D073F" w:rsidR="008B2543" w:rsidRDefault="0019787E" w:rsidP="009A2D3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26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93807D" w14:textId="2AB623F3" w:rsidR="008B2543" w:rsidRPr="007B7724" w:rsidRDefault="008B2543" w:rsidP="007B7724">
    <w:pPr>
      <w:pStyle w:val="Footer"/>
      <w:spacing w:after="120"/>
      <w:ind w:right="-330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67C69" w14:textId="77777777" w:rsidR="001A1A33" w:rsidRDefault="001A1A33" w:rsidP="009A2D37">
      <w:pPr>
        <w:spacing w:after="0" w:line="240" w:lineRule="auto"/>
      </w:pPr>
      <w:r>
        <w:separator/>
      </w:r>
    </w:p>
  </w:footnote>
  <w:footnote w:type="continuationSeparator" w:id="0">
    <w:p w14:paraId="1840CA9C" w14:textId="77777777" w:rsidR="001A1A33" w:rsidRDefault="001A1A33" w:rsidP="009A2D37">
      <w:pPr>
        <w:spacing w:after="0" w:line="240" w:lineRule="auto"/>
      </w:pPr>
      <w:r>
        <w:continuationSeparator/>
      </w:r>
    </w:p>
  </w:footnote>
  <w:footnote w:type="continuationNotice" w:id="1">
    <w:p w14:paraId="68DE5933" w14:textId="77777777" w:rsidR="001A1A33" w:rsidRDefault="001A1A3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15410" w14:textId="77777777" w:rsidR="00441E76" w:rsidRPr="0075408A" w:rsidRDefault="00441E76" w:rsidP="00441E76">
    <w:pPr>
      <w:jc w:val="center"/>
      <w:rPr>
        <w:rFonts w:ascii="Arial" w:hAnsi="Arial" w:cs="Arial"/>
        <w:b/>
        <w:sz w:val="28"/>
        <w:szCs w:val="28"/>
      </w:rPr>
    </w:pPr>
    <w:r w:rsidRPr="0075408A"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56704" behindDoc="1" locked="0" layoutInCell="1" allowOverlap="1" wp14:anchorId="2A311EC2" wp14:editId="3975C3A1">
          <wp:simplePos x="0" y="0"/>
          <wp:positionH relativeFrom="column">
            <wp:posOffset>5457825</wp:posOffset>
          </wp:positionH>
          <wp:positionV relativeFrom="paragraph">
            <wp:posOffset>-156845</wp:posOffset>
          </wp:positionV>
          <wp:extent cx="1170940" cy="5905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94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7FBF">
      <w:rPr>
        <w:rFonts w:ascii="Arial" w:hAnsi="Arial" w:cs="Arial"/>
        <w:b/>
        <w:sz w:val="28"/>
        <w:szCs w:val="28"/>
      </w:rPr>
      <w:t>MODULE SPECIFICATION</w:t>
    </w:r>
  </w:p>
  <w:p w14:paraId="6FF2C18D" w14:textId="77777777" w:rsidR="008B2543" w:rsidRPr="008C00F8" w:rsidRDefault="008B2543" w:rsidP="005E6D38">
    <w:pPr>
      <w:pStyle w:val="Heading1"/>
      <w:spacing w:before="60" w:after="60"/>
      <w:rPr>
        <w:rFonts w:ascii="Arial" w:hAnsi="Arial" w:cs="Arial"/>
      </w:rPr>
    </w:pPr>
  </w:p>
  <w:p w14:paraId="4EF832F6" w14:textId="77777777" w:rsidR="008B2543" w:rsidRDefault="008B25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F7DF8" w14:textId="77777777" w:rsidR="000F7FBF" w:rsidRPr="0075408A" w:rsidRDefault="000F7FBF" w:rsidP="000F7FBF">
    <w:pPr>
      <w:jc w:val="center"/>
      <w:rPr>
        <w:rFonts w:ascii="Arial" w:hAnsi="Arial" w:cs="Arial"/>
        <w:b/>
        <w:sz w:val="28"/>
        <w:szCs w:val="28"/>
      </w:rPr>
    </w:pPr>
    <w:r w:rsidRPr="0075408A"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75DED871" wp14:editId="012268E8">
          <wp:simplePos x="0" y="0"/>
          <wp:positionH relativeFrom="column">
            <wp:posOffset>5457825</wp:posOffset>
          </wp:positionH>
          <wp:positionV relativeFrom="paragraph">
            <wp:posOffset>-156845</wp:posOffset>
          </wp:positionV>
          <wp:extent cx="1170940" cy="59055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94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</w:rPr>
      <w:t xml:space="preserve">MODULE SPECIFICATION </w:t>
    </w:r>
  </w:p>
  <w:p w14:paraId="60D05F12" w14:textId="77777777" w:rsidR="000F7FBF" w:rsidRPr="000F7FBF" w:rsidRDefault="000F7FBF" w:rsidP="000F7F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5581F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BC392C"/>
    <w:multiLevelType w:val="hybridMultilevel"/>
    <w:tmpl w:val="0A3AA04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B2C4389"/>
    <w:multiLevelType w:val="hybridMultilevel"/>
    <w:tmpl w:val="1DBE8184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730FE8"/>
    <w:multiLevelType w:val="hybridMultilevel"/>
    <w:tmpl w:val="2E5276C0"/>
    <w:lvl w:ilvl="0" w:tplc="38CEBAB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D4F60"/>
    <w:multiLevelType w:val="hybridMultilevel"/>
    <w:tmpl w:val="F458789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707399"/>
    <w:multiLevelType w:val="multilevel"/>
    <w:tmpl w:val="0BF621C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57E11341"/>
    <w:multiLevelType w:val="hybridMultilevel"/>
    <w:tmpl w:val="A2EE1400"/>
    <w:lvl w:ilvl="0" w:tplc="6BDC6D4C">
      <w:start w:val="1"/>
      <w:numFmt w:val="bullet"/>
      <w:lvlText w:val="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59AA10F9"/>
    <w:multiLevelType w:val="hybridMultilevel"/>
    <w:tmpl w:val="D2DE37D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787623"/>
    <w:multiLevelType w:val="hybridMultilevel"/>
    <w:tmpl w:val="D8828DD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5772049"/>
    <w:multiLevelType w:val="multilevel"/>
    <w:tmpl w:val="AB28C29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6602341"/>
    <w:multiLevelType w:val="multilevel"/>
    <w:tmpl w:val="479EEA8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9AA4BA0"/>
    <w:multiLevelType w:val="hybridMultilevel"/>
    <w:tmpl w:val="F1502D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8"/>
  </w:num>
  <w:num w:numId="6">
    <w:abstractNumId w:val="6"/>
  </w:num>
  <w:num w:numId="7">
    <w:abstractNumId w:val="11"/>
  </w:num>
  <w:num w:numId="8">
    <w:abstractNumId w:val="7"/>
  </w:num>
  <w:num w:numId="9">
    <w:abstractNumId w:val="5"/>
  </w:num>
  <w:num w:numId="10">
    <w:abstractNumId w:val="2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A33"/>
    <w:rsid w:val="00000C8C"/>
    <w:rsid w:val="000017F2"/>
    <w:rsid w:val="0000456B"/>
    <w:rsid w:val="00005661"/>
    <w:rsid w:val="00010A16"/>
    <w:rsid w:val="0001243F"/>
    <w:rsid w:val="00021EA0"/>
    <w:rsid w:val="00025992"/>
    <w:rsid w:val="00027937"/>
    <w:rsid w:val="00030C9E"/>
    <w:rsid w:val="00031E67"/>
    <w:rsid w:val="000408CC"/>
    <w:rsid w:val="00045373"/>
    <w:rsid w:val="00063A2F"/>
    <w:rsid w:val="000678D3"/>
    <w:rsid w:val="00094810"/>
    <w:rsid w:val="00096DA4"/>
    <w:rsid w:val="000C0294"/>
    <w:rsid w:val="000C7A1C"/>
    <w:rsid w:val="000D2A8A"/>
    <w:rsid w:val="000D32AC"/>
    <w:rsid w:val="000E20C1"/>
    <w:rsid w:val="000E3B73"/>
    <w:rsid w:val="000F6C56"/>
    <w:rsid w:val="000F7FBF"/>
    <w:rsid w:val="00106BE5"/>
    <w:rsid w:val="00110947"/>
    <w:rsid w:val="00111906"/>
    <w:rsid w:val="00111CB3"/>
    <w:rsid w:val="00117577"/>
    <w:rsid w:val="00117793"/>
    <w:rsid w:val="001206E4"/>
    <w:rsid w:val="001214D3"/>
    <w:rsid w:val="00121BFC"/>
    <w:rsid w:val="00131869"/>
    <w:rsid w:val="001402AD"/>
    <w:rsid w:val="001540CE"/>
    <w:rsid w:val="0015717B"/>
    <w:rsid w:val="00157ACA"/>
    <w:rsid w:val="00160427"/>
    <w:rsid w:val="00162D46"/>
    <w:rsid w:val="00172793"/>
    <w:rsid w:val="00180558"/>
    <w:rsid w:val="001811E5"/>
    <w:rsid w:val="00183B34"/>
    <w:rsid w:val="00185F46"/>
    <w:rsid w:val="00196C6A"/>
    <w:rsid w:val="0019787E"/>
    <w:rsid w:val="001A1A33"/>
    <w:rsid w:val="001A425B"/>
    <w:rsid w:val="001B1B28"/>
    <w:rsid w:val="001B27FB"/>
    <w:rsid w:val="001C4A85"/>
    <w:rsid w:val="001C5443"/>
    <w:rsid w:val="001D0C7D"/>
    <w:rsid w:val="001D1F2D"/>
    <w:rsid w:val="001D2314"/>
    <w:rsid w:val="001D6398"/>
    <w:rsid w:val="001E1F45"/>
    <w:rsid w:val="001E62C1"/>
    <w:rsid w:val="001F0779"/>
    <w:rsid w:val="001F3C3E"/>
    <w:rsid w:val="00201C5F"/>
    <w:rsid w:val="0020243A"/>
    <w:rsid w:val="00203157"/>
    <w:rsid w:val="0021578E"/>
    <w:rsid w:val="00227582"/>
    <w:rsid w:val="002308BE"/>
    <w:rsid w:val="002407C0"/>
    <w:rsid w:val="002461AF"/>
    <w:rsid w:val="002465A1"/>
    <w:rsid w:val="00264576"/>
    <w:rsid w:val="0026585A"/>
    <w:rsid w:val="00266735"/>
    <w:rsid w:val="00273CF0"/>
    <w:rsid w:val="002748D4"/>
    <w:rsid w:val="00274ED7"/>
    <w:rsid w:val="0028461D"/>
    <w:rsid w:val="0028590C"/>
    <w:rsid w:val="00292C46"/>
    <w:rsid w:val="002938D6"/>
    <w:rsid w:val="00294B73"/>
    <w:rsid w:val="002A0C18"/>
    <w:rsid w:val="002A219B"/>
    <w:rsid w:val="002A22DB"/>
    <w:rsid w:val="002B20F5"/>
    <w:rsid w:val="002B2A1A"/>
    <w:rsid w:val="002B71F2"/>
    <w:rsid w:val="002E71C0"/>
    <w:rsid w:val="002F05F4"/>
    <w:rsid w:val="002F0CE4"/>
    <w:rsid w:val="002F23EF"/>
    <w:rsid w:val="002F2626"/>
    <w:rsid w:val="00302082"/>
    <w:rsid w:val="00306620"/>
    <w:rsid w:val="003262B9"/>
    <w:rsid w:val="00334A02"/>
    <w:rsid w:val="00335875"/>
    <w:rsid w:val="00335FBE"/>
    <w:rsid w:val="00351D4F"/>
    <w:rsid w:val="00352D8E"/>
    <w:rsid w:val="00356B68"/>
    <w:rsid w:val="0035702D"/>
    <w:rsid w:val="003604D4"/>
    <w:rsid w:val="003627B0"/>
    <w:rsid w:val="00374DF6"/>
    <w:rsid w:val="003759B0"/>
    <w:rsid w:val="00375F84"/>
    <w:rsid w:val="00376E34"/>
    <w:rsid w:val="003804E7"/>
    <w:rsid w:val="003934D2"/>
    <w:rsid w:val="003973A1"/>
    <w:rsid w:val="003A5DA0"/>
    <w:rsid w:val="003A5EEB"/>
    <w:rsid w:val="003A6143"/>
    <w:rsid w:val="003B35F4"/>
    <w:rsid w:val="003B4FC5"/>
    <w:rsid w:val="003B7C76"/>
    <w:rsid w:val="003C3E0C"/>
    <w:rsid w:val="003C776B"/>
    <w:rsid w:val="003D4A1C"/>
    <w:rsid w:val="003D7AA0"/>
    <w:rsid w:val="003E1FF7"/>
    <w:rsid w:val="003E311D"/>
    <w:rsid w:val="003F4470"/>
    <w:rsid w:val="003F5A04"/>
    <w:rsid w:val="003F67CD"/>
    <w:rsid w:val="00402ED7"/>
    <w:rsid w:val="004114F8"/>
    <w:rsid w:val="00422B69"/>
    <w:rsid w:val="00423D86"/>
    <w:rsid w:val="00424C90"/>
    <w:rsid w:val="00436BE9"/>
    <w:rsid w:val="00441E76"/>
    <w:rsid w:val="004443DA"/>
    <w:rsid w:val="00446A75"/>
    <w:rsid w:val="004474A2"/>
    <w:rsid w:val="00460925"/>
    <w:rsid w:val="00471C6C"/>
    <w:rsid w:val="00472023"/>
    <w:rsid w:val="00486993"/>
    <w:rsid w:val="00492DA4"/>
    <w:rsid w:val="00496AA3"/>
    <w:rsid w:val="00497C98"/>
    <w:rsid w:val="004A39D7"/>
    <w:rsid w:val="004A55FA"/>
    <w:rsid w:val="004B5D03"/>
    <w:rsid w:val="004C1EC4"/>
    <w:rsid w:val="004D035C"/>
    <w:rsid w:val="004F3C18"/>
    <w:rsid w:val="004F4328"/>
    <w:rsid w:val="005005E4"/>
    <w:rsid w:val="00513689"/>
    <w:rsid w:val="0051375A"/>
    <w:rsid w:val="00521097"/>
    <w:rsid w:val="0053059E"/>
    <w:rsid w:val="00532F6F"/>
    <w:rsid w:val="00533663"/>
    <w:rsid w:val="005460C2"/>
    <w:rsid w:val="005526FB"/>
    <w:rsid w:val="0055280A"/>
    <w:rsid w:val="005548E1"/>
    <w:rsid w:val="0055585D"/>
    <w:rsid w:val="0056127B"/>
    <w:rsid w:val="00561D26"/>
    <w:rsid w:val="00564738"/>
    <w:rsid w:val="00567EC9"/>
    <w:rsid w:val="00571630"/>
    <w:rsid w:val="005759F4"/>
    <w:rsid w:val="005779D1"/>
    <w:rsid w:val="0058041A"/>
    <w:rsid w:val="0058743D"/>
    <w:rsid w:val="00587BF7"/>
    <w:rsid w:val="00592034"/>
    <w:rsid w:val="0059477B"/>
    <w:rsid w:val="00596884"/>
    <w:rsid w:val="005A14B5"/>
    <w:rsid w:val="005B5A98"/>
    <w:rsid w:val="005C1A4F"/>
    <w:rsid w:val="005C27D7"/>
    <w:rsid w:val="005D2D3D"/>
    <w:rsid w:val="005D7CD0"/>
    <w:rsid w:val="005E1A3A"/>
    <w:rsid w:val="005E6ADC"/>
    <w:rsid w:val="005E6D10"/>
    <w:rsid w:val="005E6D38"/>
    <w:rsid w:val="005E7B3F"/>
    <w:rsid w:val="005F040F"/>
    <w:rsid w:val="005F2C42"/>
    <w:rsid w:val="006043FC"/>
    <w:rsid w:val="006050CF"/>
    <w:rsid w:val="00612B9D"/>
    <w:rsid w:val="006253AA"/>
    <w:rsid w:val="00626023"/>
    <w:rsid w:val="00633150"/>
    <w:rsid w:val="00637A50"/>
    <w:rsid w:val="00641D6D"/>
    <w:rsid w:val="0064364E"/>
    <w:rsid w:val="006438F3"/>
    <w:rsid w:val="00647907"/>
    <w:rsid w:val="00651A82"/>
    <w:rsid w:val="006525E9"/>
    <w:rsid w:val="006650F3"/>
    <w:rsid w:val="0066747B"/>
    <w:rsid w:val="006725EC"/>
    <w:rsid w:val="00674ED0"/>
    <w:rsid w:val="00682650"/>
    <w:rsid w:val="00683609"/>
    <w:rsid w:val="00684851"/>
    <w:rsid w:val="00694309"/>
    <w:rsid w:val="00695285"/>
    <w:rsid w:val="00696FF5"/>
    <w:rsid w:val="006A6BB4"/>
    <w:rsid w:val="006A7FB0"/>
    <w:rsid w:val="006C2A9A"/>
    <w:rsid w:val="006C423D"/>
    <w:rsid w:val="006C46EF"/>
    <w:rsid w:val="006C4C67"/>
    <w:rsid w:val="006D13C0"/>
    <w:rsid w:val="006D41AB"/>
    <w:rsid w:val="006D444F"/>
    <w:rsid w:val="006D506A"/>
    <w:rsid w:val="006F0C32"/>
    <w:rsid w:val="006F1A15"/>
    <w:rsid w:val="006F267A"/>
    <w:rsid w:val="006F3F8B"/>
    <w:rsid w:val="00700488"/>
    <w:rsid w:val="00703404"/>
    <w:rsid w:val="00703F92"/>
    <w:rsid w:val="00704637"/>
    <w:rsid w:val="007105E4"/>
    <w:rsid w:val="00714EE5"/>
    <w:rsid w:val="00720270"/>
    <w:rsid w:val="007217CB"/>
    <w:rsid w:val="00724362"/>
    <w:rsid w:val="00727780"/>
    <w:rsid w:val="0073792C"/>
    <w:rsid w:val="00754069"/>
    <w:rsid w:val="007667DF"/>
    <w:rsid w:val="0077080B"/>
    <w:rsid w:val="00787070"/>
    <w:rsid w:val="007906FD"/>
    <w:rsid w:val="00797197"/>
    <w:rsid w:val="007972A7"/>
    <w:rsid w:val="007A2BA2"/>
    <w:rsid w:val="007A6245"/>
    <w:rsid w:val="007B1DB2"/>
    <w:rsid w:val="007B375B"/>
    <w:rsid w:val="007B412A"/>
    <w:rsid w:val="007B635E"/>
    <w:rsid w:val="007B7724"/>
    <w:rsid w:val="007B7CDC"/>
    <w:rsid w:val="007C1342"/>
    <w:rsid w:val="007C74B4"/>
    <w:rsid w:val="007E3412"/>
    <w:rsid w:val="007F393D"/>
    <w:rsid w:val="008029AF"/>
    <w:rsid w:val="00802FFA"/>
    <w:rsid w:val="008102E5"/>
    <w:rsid w:val="008111B4"/>
    <w:rsid w:val="008133F0"/>
    <w:rsid w:val="00815880"/>
    <w:rsid w:val="0082322C"/>
    <w:rsid w:val="00823942"/>
    <w:rsid w:val="00827FFD"/>
    <w:rsid w:val="0083074C"/>
    <w:rsid w:val="00854535"/>
    <w:rsid w:val="00856EB3"/>
    <w:rsid w:val="00863C96"/>
    <w:rsid w:val="00864A72"/>
    <w:rsid w:val="00873E9F"/>
    <w:rsid w:val="00874047"/>
    <w:rsid w:val="008778CB"/>
    <w:rsid w:val="00881545"/>
    <w:rsid w:val="00883204"/>
    <w:rsid w:val="00883A3E"/>
    <w:rsid w:val="0089148D"/>
    <w:rsid w:val="00891E0D"/>
    <w:rsid w:val="008A0F36"/>
    <w:rsid w:val="008B2543"/>
    <w:rsid w:val="008B4B6E"/>
    <w:rsid w:val="008D7401"/>
    <w:rsid w:val="00903DF6"/>
    <w:rsid w:val="00921CF6"/>
    <w:rsid w:val="00922E9E"/>
    <w:rsid w:val="00924EF0"/>
    <w:rsid w:val="00934D7B"/>
    <w:rsid w:val="00947180"/>
    <w:rsid w:val="009567BE"/>
    <w:rsid w:val="009676FA"/>
    <w:rsid w:val="009679E0"/>
    <w:rsid w:val="00977632"/>
    <w:rsid w:val="00982A8E"/>
    <w:rsid w:val="00987DB4"/>
    <w:rsid w:val="0099029D"/>
    <w:rsid w:val="00996204"/>
    <w:rsid w:val="009A26CB"/>
    <w:rsid w:val="009A2BC2"/>
    <w:rsid w:val="009A2D37"/>
    <w:rsid w:val="009A7587"/>
    <w:rsid w:val="009B0A69"/>
    <w:rsid w:val="009C2474"/>
    <w:rsid w:val="009C7082"/>
    <w:rsid w:val="009D0006"/>
    <w:rsid w:val="009D068C"/>
    <w:rsid w:val="009F1D5B"/>
    <w:rsid w:val="009F3A2A"/>
    <w:rsid w:val="009F731F"/>
    <w:rsid w:val="009F7D33"/>
    <w:rsid w:val="00A021FE"/>
    <w:rsid w:val="00A1270E"/>
    <w:rsid w:val="00A15342"/>
    <w:rsid w:val="00A3007E"/>
    <w:rsid w:val="00A32048"/>
    <w:rsid w:val="00A41F06"/>
    <w:rsid w:val="00A50FD4"/>
    <w:rsid w:val="00A52DB4"/>
    <w:rsid w:val="00A618E1"/>
    <w:rsid w:val="00A629B9"/>
    <w:rsid w:val="00A70C20"/>
    <w:rsid w:val="00A74292"/>
    <w:rsid w:val="00A776DE"/>
    <w:rsid w:val="00A80640"/>
    <w:rsid w:val="00A87FFD"/>
    <w:rsid w:val="00A955B6"/>
    <w:rsid w:val="00A97038"/>
    <w:rsid w:val="00AA3C15"/>
    <w:rsid w:val="00AA6330"/>
    <w:rsid w:val="00AC7501"/>
    <w:rsid w:val="00AD748B"/>
    <w:rsid w:val="00AE4865"/>
    <w:rsid w:val="00AF50EE"/>
    <w:rsid w:val="00B0591D"/>
    <w:rsid w:val="00B13402"/>
    <w:rsid w:val="00B14BC2"/>
    <w:rsid w:val="00B17024"/>
    <w:rsid w:val="00B17CD2"/>
    <w:rsid w:val="00B213D2"/>
    <w:rsid w:val="00B248BA"/>
    <w:rsid w:val="00B24B56"/>
    <w:rsid w:val="00B30E07"/>
    <w:rsid w:val="00B34ADD"/>
    <w:rsid w:val="00B52FF5"/>
    <w:rsid w:val="00B5498B"/>
    <w:rsid w:val="00B57219"/>
    <w:rsid w:val="00B658A3"/>
    <w:rsid w:val="00B746A8"/>
    <w:rsid w:val="00B7664D"/>
    <w:rsid w:val="00B80989"/>
    <w:rsid w:val="00B9109B"/>
    <w:rsid w:val="00B927AE"/>
    <w:rsid w:val="00B93721"/>
    <w:rsid w:val="00B937B1"/>
    <w:rsid w:val="00BA453C"/>
    <w:rsid w:val="00BA4E02"/>
    <w:rsid w:val="00BB2045"/>
    <w:rsid w:val="00BB2A6D"/>
    <w:rsid w:val="00BB4189"/>
    <w:rsid w:val="00BC19F7"/>
    <w:rsid w:val="00BC41ED"/>
    <w:rsid w:val="00BD009E"/>
    <w:rsid w:val="00BD0EF8"/>
    <w:rsid w:val="00BD7A8C"/>
    <w:rsid w:val="00BE2126"/>
    <w:rsid w:val="00BE3B17"/>
    <w:rsid w:val="00BE7223"/>
    <w:rsid w:val="00BF51AB"/>
    <w:rsid w:val="00BF716B"/>
    <w:rsid w:val="00BF7233"/>
    <w:rsid w:val="00C02AA2"/>
    <w:rsid w:val="00C04C95"/>
    <w:rsid w:val="00C12613"/>
    <w:rsid w:val="00C16DEF"/>
    <w:rsid w:val="00C2492F"/>
    <w:rsid w:val="00C3744A"/>
    <w:rsid w:val="00C4002A"/>
    <w:rsid w:val="00C46912"/>
    <w:rsid w:val="00C57028"/>
    <w:rsid w:val="00C612A8"/>
    <w:rsid w:val="00C67631"/>
    <w:rsid w:val="00C709C6"/>
    <w:rsid w:val="00C729D7"/>
    <w:rsid w:val="00C83354"/>
    <w:rsid w:val="00C84004"/>
    <w:rsid w:val="00C843F6"/>
    <w:rsid w:val="00C84507"/>
    <w:rsid w:val="00C862C7"/>
    <w:rsid w:val="00CA3254"/>
    <w:rsid w:val="00CB11CE"/>
    <w:rsid w:val="00CC25A2"/>
    <w:rsid w:val="00CD7F07"/>
    <w:rsid w:val="00CE04F3"/>
    <w:rsid w:val="00CE12D8"/>
    <w:rsid w:val="00CE4574"/>
    <w:rsid w:val="00CE70E6"/>
    <w:rsid w:val="00CF2E1E"/>
    <w:rsid w:val="00D02E99"/>
    <w:rsid w:val="00D13357"/>
    <w:rsid w:val="00D13A13"/>
    <w:rsid w:val="00D2689A"/>
    <w:rsid w:val="00D65506"/>
    <w:rsid w:val="00D773CF"/>
    <w:rsid w:val="00D83563"/>
    <w:rsid w:val="00D8448F"/>
    <w:rsid w:val="00DA64B6"/>
    <w:rsid w:val="00DB5C9D"/>
    <w:rsid w:val="00DB7A6C"/>
    <w:rsid w:val="00DD02E6"/>
    <w:rsid w:val="00DD2C9B"/>
    <w:rsid w:val="00DF665B"/>
    <w:rsid w:val="00E0152A"/>
    <w:rsid w:val="00E03394"/>
    <w:rsid w:val="00E066E5"/>
    <w:rsid w:val="00E22F03"/>
    <w:rsid w:val="00E233C1"/>
    <w:rsid w:val="00E51404"/>
    <w:rsid w:val="00E574C9"/>
    <w:rsid w:val="00E610DE"/>
    <w:rsid w:val="00E66167"/>
    <w:rsid w:val="00E71F2F"/>
    <w:rsid w:val="00E77786"/>
    <w:rsid w:val="00E806FB"/>
    <w:rsid w:val="00EB1C2D"/>
    <w:rsid w:val="00EC1810"/>
    <w:rsid w:val="00EC3FCC"/>
    <w:rsid w:val="00ED32FF"/>
    <w:rsid w:val="00EF039B"/>
    <w:rsid w:val="00EF4933"/>
    <w:rsid w:val="00EF5044"/>
    <w:rsid w:val="00F01956"/>
    <w:rsid w:val="00F116CE"/>
    <w:rsid w:val="00F176DE"/>
    <w:rsid w:val="00F21C47"/>
    <w:rsid w:val="00F244E2"/>
    <w:rsid w:val="00F340DE"/>
    <w:rsid w:val="00F43542"/>
    <w:rsid w:val="00F44BAB"/>
    <w:rsid w:val="00F527CB"/>
    <w:rsid w:val="00F562AA"/>
    <w:rsid w:val="00F66975"/>
    <w:rsid w:val="00F7105A"/>
    <w:rsid w:val="00F712EB"/>
    <w:rsid w:val="00F7710E"/>
    <w:rsid w:val="00F77676"/>
    <w:rsid w:val="00F8197C"/>
    <w:rsid w:val="00F82B4E"/>
    <w:rsid w:val="00F87559"/>
    <w:rsid w:val="00F96D71"/>
    <w:rsid w:val="00F97C9E"/>
    <w:rsid w:val="00FA20DE"/>
    <w:rsid w:val="00FA4EE8"/>
    <w:rsid w:val="00FB12CA"/>
    <w:rsid w:val="00FB36EC"/>
    <w:rsid w:val="00FB4E1B"/>
    <w:rsid w:val="00FC0291"/>
    <w:rsid w:val="00FC1C92"/>
    <w:rsid w:val="00FD333B"/>
    <w:rsid w:val="00FD689C"/>
    <w:rsid w:val="00FD705C"/>
    <w:rsid w:val="00FD777A"/>
    <w:rsid w:val="00FE260B"/>
    <w:rsid w:val="00FE692E"/>
    <w:rsid w:val="00FF31CA"/>
    <w:rsid w:val="00FF6EB4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8A19560"/>
  <w15:docId w15:val="{0F912E4E-4399-44BE-B172-1B751ED98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D37"/>
    <w:rPr>
      <w:rFonts w:eastAsiaTheme="minorEastAsia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6A6BB4"/>
    <w:pPr>
      <w:keepNext/>
      <w:spacing w:after="0" w:line="240" w:lineRule="auto"/>
      <w:jc w:val="center"/>
      <w:outlineLvl w:val="0"/>
    </w:pPr>
    <w:rPr>
      <w:rFonts w:ascii="Plantin" w:eastAsia="Times New Roman" w:hAnsi="Plantin" w:cs="Times New Roman"/>
      <w:b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A2D37"/>
    <w:rPr>
      <w:color w:val="0000FF"/>
      <w:u w:val="single"/>
    </w:rPr>
  </w:style>
  <w:style w:type="paragraph" w:customStyle="1" w:styleId="Default">
    <w:name w:val="Default"/>
    <w:rsid w:val="009A2D3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A2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2D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2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D37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A6B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D37"/>
    <w:rPr>
      <w:rFonts w:eastAsiaTheme="minorEastAsia"/>
      <w:lang w:eastAsia="en-GB"/>
    </w:rPr>
  </w:style>
  <w:style w:type="character" w:customStyle="1" w:styleId="Heading1Char">
    <w:name w:val="Heading 1 Char"/>
    <w:basedOn w:val="DefaultParagraphFont"/>
    <w:link w:val="Heading1"/>
    <w:rsid w:val="006A6BB4"/>
    <w:rPr>
      <w:rFonts w:ascii="Plantin" w:eastAsia="Times New Roman" w:hAnsi="Plantin" w:cs="Times New Roman"/>
      <w:b/>
      <w:sz w:val="24"/>
      <w:szCs w:val="20"/>
    </w:rPr>
  </w:style>
  <w:style w:type="paragraph" w:styleId="ListBullet">
    <w:name w:val="List Bullet"/>
    <w:basedOn w:val="Normal"/>
    <w:uiPriority w:val="99"/>
    <w:unhideWhenUsed/>
    <w:rsid w:val="006A6BB4"/>
    <w:pPr>
      <w:numPr>
        <w:numId w:val="2"/>
      </w:numPr>
      <w:contextualSpacing/>
    </w:pPr>
  </w:style>
  <w:style w:type="table" w:styleId="TableGrid">
    <w:name w:val="Table Grid"/>
    <w:basedOn w:val="TableNormal"/>
    <w:uiPriority w:val="59"/>
    <w:rsid w:val="006A6BB4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6A6BB4"/>
    <w:pPr>
      <w:spacing w:after="0" w:line="240" w:lineRule="auto"/>
      <w:jc w:val="center"/>
    </w:pPr>
    <w:rPr>
      <w:rFonts w:ascii="Plantin" w:eastAsia="Times New Roman" w:hAnsi="Plantin" w:cs="Times New Roman"/>
      <w:b/>
      <w:sz w:val="24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6A6BB4"/>
    <w:rPr>
      <w:rFonts w:ascii="Plantin" w:eastAsia="Times New Roman" w:hAnsi="Plantin" w:cs="Times New Roman"/>
      <w:b/>
      <w:sz w:val="24"/>
      <w:szCs w:val="20"/>
    </w:rPr>
  </w:style>
  <w:style w:type="paragraph" w:styleId="FootnoteText">
    <w:name w:val="footnote text"/>
    <w:basedOn w:val="Normal"/>
    <w:link w:val="FootnoteTextChar"/>
    <w:semiHidden/>
    <w:rsid w:val="006A6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6A6BB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6A6BB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BB4"/>
    <w:rPr>
      <w:rFonts w:ascii="Tahoma" w:eastAsiaTheme="minorEastAsia" w:hAnsi="Tahoma" w:cs="Tahoma"/>
      <w:sz w:val="16"/>
      <w:szCs w:val="16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A6BB4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6B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6B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6BB4"/>
    <w:rPr>
      <w:rFonts w:eastAsiaTheme="minorEastAsia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B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BB4"/>
    <w:rPr>
      <w:rFonts w:eastAsiaTheme="minorEastAsia"/>
      <w:b/>
      <w:bCs/>
      <w:sz w:val="20"/>
      <w:szCs w:val="20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0F7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5">
    <w:name w:val="s15"/>
    <w:basedOn w:val="DefaultParagraphFont"/>
    <w:rsid w:val="002F05F4"/>
  </w:style>
  <w:style w:type="paragraph" w:styleId="PlainText">
    <w:name w:val="Plain Text"/>
    <w:basedOn w:val="Normal"/>
    <w:link w:val="PlainTextChar"/>
    <w:uiPriority w:val="99"/>
    <w:unhideWhenUsed/>
    <w:rsid w:val="005F040F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F040F"/>
    <w:rPr>
      <w:rFonts w:ascii="Calibri" w:hAnsi="Calibri"/>
      <w:szCs w:val="21"/>
    </w:rPr>
  </w:style>
  <w:style w:type="table" w:customStyle="1" w:styleId="TableGrid2">
    <w:name w:val="Table Grid2"/>
    <w:basedOn w:val="TableNormal"/>
    <w:next w:val="TableGrid"/>
    <w:uiPriority w:val="59"/>
    <w:rsid w:val="00A955B6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4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05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nt.ac.uk/teaching/qa/credit-framework/guide-examiners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CMA%20Project\Module%20Specifications\annexb-modspec-coversheet-with-guidance-2017-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FF863D45A9CB4BA9540D2BC5DB9BE0" ma:contentTypeVersion="10" ma:contentTypeDescription="Create a new document." ma:contentTypeScope="" ma:versionID="06a62ee7755d5b2b1b8fb48dd6b99d8b">
  <xsd:schema xmlns:xsd="http://www.w3.org/2001/XMLSchema" xmlns:xs="http://www.w3.org/2001/XMLSchema" xmlns:p="http://schemas.microsoft.com/office/2006/metadata/properties" xmlns:ns2="3f13950b-87af-46f0-9487-6c1699f0ca98" xmlns:ns3="d2b79f8b-553a-4f97-849b-574ef3b42426" targetNamespace="http://schemas.microsoft.com/office/2006/metadata/properties" ma:root="true" ma:fieldsID="3a43542cdcc881ff85c78990983a6b1d" ns2:_="" ns3:_="">
    <xsd:import namespace="3f13950b-87af-46f0-9487-6c1699f0ca98"/>
    <xsd:import namespace="d2b79f8b-553a-4f97-849b-574ef3b424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3950b-87af-46f0-9487-6c1699f0ca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79f8b-553a-4f97-849b-574ef3b4242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F7F4BE-E459-4F89-89D2-B85C65FD71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3E8647-E756-4471-8AA8-DE7E1CB90F66}"/>
</file>

<file path=customXml/itemProps3.xml><?xml version="1.0" encoding="utf-8"?>
<ds:datastoreItem xmlns:ds="http://schemas.openxmlformats.org/officeDocument/2006/customXml" ds:itemID="{4172DF0F-9708-458C-A030-CF267D3B8176}"/>
</file>

<file path=customXml/itemProps4.xml><?xml version="1.0" encoding="utf-8"?>
<ds:datastoreItem xmlns:ds="http://schemas.openxmlformats.org/officeDocument/2006/customXml" ds:itemID="{332B001B-1E09-459B-9BBF-F712701979D6}"/>
</file>

<file path=docProps/app.xml><?xml version="1.0" encoding="utf-8"?>
<Properties xmlns="http://schemas.openxmlformats.org/officeDocument/2006/extended-properties" xmlns:vt="http://schemas.openxmlformats.org/officeDocument/2006/docPropsVTypes">
  <Template>annexb-modspec-coversheet-with-guidance-2017-18</Template>
  <TotalTime>118</TotalTime>
  <Pages>4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</Company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Martin</dc:creator>
  <cp:lastModifiedBy>Ben Martin</cp:lastModifiedBy>
  <cp:revision>10</cp:revision>
  <cp:lastPrinted>2015-09-09T08:37:00Z</cp:lastPrinted>
  <dcterms:created xsi:type="dcterms:W3CDTF">2018-01-26T12:45:00Z</dcterms:created>
  <dcterms:modified xsi:type="dcterms:W3CDTF">2018-03-29T14:39:00Z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0x01010042FF863D45A9CB4BA9540D2BC5DB9BE0</vt:lpwstr>
  </property>
</Properties>
</file>